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小标宋简体" w:hAnsi="Times New Roman" w:eastAsia="方正小标宋简体" w:cs="Times New Roman"/>
          <w:b w:val="0"/>
          <w:bCs w:val="0"/>
          <w:sz w:val="44"/>
          <w:szCs w:val="44"/>
        </w:rPr>
      </w:pPr>
      <w:r>
        <w:rPr>
          <w:rFonts w:hint="eastAsia" w:ascii="方正小标宋简体" w:hAnsi="Times New Roman" w:eastAsia="方正小标宋简体" w:cs="Times New Roman"/>
          <w:b w:val="0"/>
          <w:bCs w:val="0"/>
          <w:sz w:val="44"/>
          <w:szCs w:val="44"/>
        </w:rPr>
        <w:t>上海财经大学校级文明单位评价指标体系</w:t>
      </w:r>
    </w:p>
    <w:p>
      <w:pPr>
        <w:adjustRightInd w:val="0"/>
        <w:snapToGrid w:val="0"/>
        <w:spacing w:line="300" w:lineRule="auto"/>
        <w:jc w:val="center"/>
        <w:rPr>
          <w:rFonts w:hint="eastAsia"/>
          <w:b/>
          <w:sz w:val="44"/>
          <w:szCs w:val="44"/>
        </w:rPr>
      </w:pPr>
    </w:p>
    <w:p>
      <w:pPr>
        <w:widowControl/>
        <w:adjustRightInd w:val="0"/>
        <w:spacing w:line="520" w:lineRule="atLeast"/>
        <w:jc w:val="left"/>
        <w:rPr>
          <w:rFonts w:hint="eastAsia" w:ascii="黑体" w:hAnsi="ˎ̥" w:eastAsia="黑体" w:cs="宋体"/>
          <w:kern w:val="0"/>
        </w:rPr>
      </w:pPr>
      <w:r>
        <w:rPr>
          <w:rFonts w:hint="eastAsia" w:ascii="黑体" w:hAnsi="ˎ̥" w:eastAsia="黑体" w:cs="宋体"/>
          <w:kern w:val="0"/>
        </w:rPr>
        <w:t>一、考评标准的内容与分值结构</w:t>
      </w:r>
    </w:p>
    <w:p>
      <w:pPr>
        <w:widowControl/>
        <w:adjustRightInd w:val="0"/>
        <w:spacing w:line="520" w:lineRule="atLeast"/>
        <w:ind w:firstLine="560" w:firstLineChars="200"/>
        <w:jc w:val="left"/>
        <w:rPr>
          <w:rFonts w:ascii="楷体_GB2312" w:hAnsi="ˎ̥" w:eastAsia="楷体_GB2312" w:cs="宋体"/>
          <w:kern w:val="0"/>
        </w:rPr>
      </w:pPr>
      <w:r>
        <w:rPr>
          <w:rFonts w:hint="eastAsia" w:ascii="楷体_GB2312" w:hAnsi="ˎ̥" w:eastAsia="楷体_GB2312" w:cs="宋体"/>
          <w:kern w:val="0"/>
        </w:rPr>
        <w:t>1.内容结构：包括“基本指标”和“特色指标”。</w:t>
      </w:r>
    </w:p>
    <w:p>
      <w:pPr>
        <w:widowControl/>
        <w:adjustRightInd w:val="0"/>
        <w:spacing w:line="520" w:lineRule="atLeast"/>
        <w:ind w:firstLine="560" w:firstLineChars="200"/>
        <w:jc w:val="left"/>
        <w:rPr>
          <w:rFonts w:ascii="楷体_GB2312" w:hAnsi="ˎ̥" w:eastAsia="楷体_GB2312" w:cs="宋体"/>
          <w:kern w:val="0"/>
        </w:rPr>
      </w:pPr>
      <w:r>
        <w:rPr>
          <w:rFonts w:hint="eastAsia" w:ascii="楷体_GB2312" w:hAnsi="ˎ̥" w:eastAsia="楷体_GB2312" w:cs="宋体"/>
          <w:kern w:val="0"/>
        </w:rPr>
        <w:t>“基本指标”反映文明单位创建的基本情况，共设置了6项一级指标。一级指标下设22个二级指标，58个评价标准。</w:t>
      </w:r>
    </w:p>
    <w:p>
      <w:pPr>
        <w:widowControl/>
        <w:adjustRightInd w:val="0"/>
        <w:spacing w:line="520" w:lineRule="atLeast"/>
        <w:ind w:firstLine="560" w:firstLineChars="200"/>
        <w:jc w:val="left"/>
        <w:rPr>
          <w:rFonts w:hint="eastAsia" w:ascii="楷体_GB2312" w:hAnsi="ˎ̥" w:eastAsia="楷体_GB2312" w:cs="宋体"/>
          <w:kern w:val="0"/>
        </w:rPr>
      </w:pPr>
      <w:r>
        <w:rPr>
          <w:rFonts w:hint="eastAsia" w:ascii="楷体_GB2312" w:hAnsi="ˎ̥" w:eastAsia="楷体_GB2312" w:cs="宋体"/>
          <w:kern w:val="0"/>
        </w:rPr>
        <w:t>“特色指标”主要反映文明单位创建工作的成果及特色。</w:t>
      </w:r>
    </w:p>
    <w:p>
      <w:pPr>
        <w:widowControl/>
        <w:adjustRightInd w:val="0"/>
        <w:spacing w:line="520" w:lineRule="atLeast"/>
        <w:ind w:firstLine="560" w:firstLineChars="200"/>
        <w:jc w:val="left"/>
        <w:rPr>
          <w:rFonts w:hint="eastAsia" w:ascii="楷体_GB2312" w:hAnsi="ˎ̥" w:eastAsia="楷体_GB2312" w:cs="宋体"/>
          <w:kern w:val="0"/>
        </w:rPr>
      </w:pPr>
      <w:r>
        <w:rPr>
          <w:rFonts w:hint="eastAsia" w:ascii="楷体_GB2312" w:hAnsi="ˎ̥" w:eastAsia="楷体_GB2312" w:cs="宋体"/>
          <w:kern w:val="0"/>
        </w:rPr>
        <w:t>2.分值结构：总分为90+10分。基本指标90分，特色指标10分。</w:t>
      </w:r>
    </w:p>
    <w:p>
      <w:pPr>
        <w:widowControl/>
        <w:adjustRightInd w:val="0"/>
        <w:spacing w:line="520" w:lineRule="atLeast"/>
        <w:ind w:firstLine="560" w:firstLineChars="200"/>
        <w:jc w:val="left"/>
        <w:rPr>
          <w:rFonts w:hint="eastAsia" w:ascii="楷体_GB2312" w:hAnsi="ˎ̥" w:eastAsia="楷体_GB2312" w:cs="宋体"/>
          <w:kern w:val="0"/>
        </w:rPr>
      </w:pPr>
      <w:r>
        <w:rPr>
          <w:rFonts w:hint="eastAsia" w:ascii="楷体_GB2312" w:hAnsi="ˎ̥" w:eastAsia="楷体_GB2312" w:cs="宋体"/>
          <w:kern w:val="0"/>
        </w:rPr>
        <w:t>3.设置“否定性指标”。</w:t>
      </w:r>
    </w:p>
    <w:p>
      <w:pPr>
        <w:widowControl/>
        <w:adjustRightInd w:val="0"/>
        <w:spacing w:line="520" w:lineRule="atLeast"/>
        <w:jc w:val="left"/>
        <w:rPr>
          <w:rFonts w:hint="eastAsia" w:ascii="黑体" w:hAnsi="ˎ̥" w:eastAsia="黑体" w:cs="宋体"/>
          <w:kern w:val="0"/>
        </w:rPr>
      </w:pPr>
      <w:r>
        <w:rPr>
          <w:rFonts w:hint="eastAsia" w:ascii="黑体" w:hAnsi="ˎ̥" w:eastAsia="黑体" w:cs="宋体"/>
          <w:kern w:val="0"/>
        </w:rPr>
        <w:t>二、考评方法</w:t>
      </w:r>
    </w:p>
    <w:p>
      <w:pPr>
        <w:widowControl/>
        <w:adjustRightInd w:val="0"/>
        <w:spacing w:line="520" w:lineRule="atLeast"/>
        <w:ind w:firstLine="560" w:firstLineChars="200"/>
        <w:jc w:val="left"/>
        <w:rPr>
          <w:rFonts w:hint="eastAsia" w:ascii="楷体_GB2312" w:hAnsi="ˎ̥" w:eastAsia="楷体_GB2312" w:cs="宋体"/>
          <w:kern w:val="0"/>
        </w:rPr>
      </w:pPr>
      <w:r>
        <w:rPr>
          <w:rFonts w:hint="eastAsia" w:ascii="楷体_GB2312" w:hAnsi="ˎ̥" w:eastAsia="楷体_GB2312" w:cs="宋体"/>
          <w:kern w:val="0"/>
        </w:rPr>
        <w:t>根据《上海财经大学校级文明单位考评指标体系》描述的评价标准，综合运用材料审核、现场查看、座谈访谈、听取汇报等方法采集数据。</w:t>
      </w:r>
    </w:p>
    <w:p>
      <w:pPr>
        <w:widowControl/>
        <w:adjustRightInd w:val="0"/>
        <w:spacing w:line="420" w:lineRule="atLeast"/>
        <w:jc w:val="left"/>
        <w:rPr>
          <w:rFonts w:hint="eastAsia" w:ascii="楷体_GB2312" w:hAnsi="ˎ̥" w:eastAsia="楷体_GB2312" w:cs="宋体"/>
          <w:kern w:val="0"/>
          <w:sz w:val="24"/>
        </w:rPr>
      </w:pPr>
    </w:p>
    <w:p>
      <w:pPr>
        <w:widowControl/>
        <w:adjustRightInd w:val="0"/>
        <w:spacing w:line="420" w:lineRule="atLeast"/>
        <w:ind w:firstLine="480" w:firstLineChars="200"/>
        <w:jc w:val="left"/>
        <w:rPr>
          <w:rFonts w:hint="eastAsia" w:ascii="黑体" w:hAnsi="ˎ̥" w:eastAsia="黑体" w:cs="宋体"/>
          <w:kern w:val="0"/>
          <w:sz w:val="24"/>
        </w:rPr>
      </w:pPr>
    </w:p>
    <w:tbl>
      <w:tblPr>
        <w:tblStyle w:val="4"/>
        <w:tblW w:w="14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1781"/>
        <w:gridCol w:w="9813"/>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4941" w:type="dxa"/>
            <w:gridSpan w:val="4"/>
            <w:noWrap w:val="0"/>
            <w:tcMar>
              <w:left w:w="28" w:type="dxa"/>
              <w:right w:w="28" w:type="dxa"/>
            </w:tcMar>
            <w:vAlign w:val="center"/>
          </w:tcPr>
          <w:p>
            <w:pPr>
              <w:widowControl/>
              <w:jc w:val="center"/>
              <w:rPr>
                <w:rFonts w:ascii="黑体" w:hAnsi="宋体" w:eastAsia="黑体" w:cs="宋体"/>
                <w:bCs w:val="0"/>
                <w:kern w:val="0"/>
                <w:sz w:val="30"/>
                <w:szCs w:val="30"/>
              </w:rPr>
            </w:pPr>
            <w:r>
              <w:rPr>
                <w:rFonts w:hint="eastAsia" w:ascii="黑体" w:hAnsi="宋体" w:eastAsia="黑体" w:cs="宋体"/>
                <w:bCs w:val="0"/>
                <w:kern w:val="0"/>
                <w:sz w:val="30"/>
                <w:szCs w:val="30"/>
              </w:rPr>
              <w:t>一、基本指标（90分）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11" w:type="dxa"/>
            <w:noWrap w:val="0"/>
            <w:tcMar>
              <w:left w:w="28" w:type="dxa"/>
              <w:right w:w="28" w:type="dxa"/>
            </w:tcMar>
            <w:vAlign w:val="center"/>
          </w:tcPr>
          <w:p>
            <w:pPr>
              <w:widowControl/>
              <w:jc w:val="center"/>
              <w:rPr>
                <w:rFonts w:ascii="黑体" w:hAnsi="宋体" w:eastAsia="黑体" w:cs="宋体"/>
                <w:bCs w:val="0"/>
                <w:kern w:val="0"/>
                <w:sz w:val="24"/>
              </w:rPr>
            </w:pPr>
            <w:r>
              <w:rPr>
                <w:rFonts w:hint="eastAsia" w:ascii="黑体" w:hAnsi="宋体" w:eastAsia="黑体" w:cs="宋体"/>
                <w:bCs w:val="0"/>
                <w:kern w:val="0"/>
                <w:sz w:val="24"/>
              </w:rPr>
              <w:t>一级指标</w:t>
            </w:r>
          </w:p>
        </w:tc>
        <w:tc>
          <w:tcPr>
            <w:tcW w:w="1781" w:type="dxa"/>
            <w:noWrap w:val="0"/>
            <w:tcMar>
              <w:left w:w="28" w:type="dxa"/>
              <w:right w:w="28" w:type="dxa"/>
            </w:tcMar>
            <w:vAlign w:val="center"/>
          </w:tcPr>
          <w:p>
            <w:pPr>
              <w:widowControl/>
              <w:jc w:val="center"/>
              <w:rPr>
                <w:rFonts w:ascii="黑体" w:hAnsi="宋体" w:eastAsia="黑体" w:cs="宋体"/>
                <w:bCs w:val="0"/>
                <w:kern w:val="0"/>
                <w:sz w:val="24"/>
              </w:rPr>
            </w:pPr>
            <w:r>
              <w:rPr>
                <w:rFonts w:hint="eastAsia" w:ascii="黑体" w:hAnsi="宋体" w:eastAsia="黑体" w:cs="宋体"/>
                <w:bCs w:val="0"/>
                <w:kern w:val="0"/>
                <w:sz w:val="24"/>
              </w:rPr>
              <w:t>二级指标</w:t>
            </w:r>
          </w:p>
        </w:tc>
        <w:tc>
          <w:tcPr>
            <w:tcW w:w="9813" w:type="dxa"/>
            <w:noWrap w:val="0"/>
            <w:tcMar>
              <w:left w:w="28" w:type="dxa"/>
              <w:right w:w="28" w:type="dxa"/>
            </w:tcMar>
            <w:vAlign w:val="center"/>
          </w:tcPr>
          <w:p>
            <w:pPr>
              <w:widowControl/>
              <w:jc w:val="center"/>
              <w:rPr>
                <w:rFonts w:ascii="黑体" w:hAnsi="宋体" w:eastAsia="黑体" w:cs="宋体"/>
                <w:bCs w:val="0"/>
                <w:kern w:val="0"/>
                <w:sz w:val="24"/>
              </w:rPr>
            </w:pPr>
            <w:r>
              <w:rPr>
                <w:rFonts w:hint="eastAsia" w:ascii="黑体" w:hAnsi="宋体" w:eastAsia="黑体" w:cs="宋体"/>
                <w:bCs w:val="0"/>
                <w:kern w:val="0"/>
                <w:sz w:val="24"/>
              </w:rPr>
              <w:t>评价标准</w:t>
            </w:r>
          </w:p>
        </w:tc>
        <w:tc>
          <w:tcPr>
            <w:tcW w:w="1736" w:type="dxa"/>
            <w:noWrap w:val="0"/>
            <w:tcMar>
              <w:left w:w="28" w:type="dxa"/>
              <w:right w:w="28" w:type="dxa"/>
            </w:tcMar>
            <w:vAlign w:val="center"/>
          </w:tcPr>
          <w:p>
            <w:pPr>
              <w:widowControl/>
              <w:jc w:val="center"/>
              <w:rPr>
                <w:rFonts w:ascii="黑体" w:hAnsi="宋体" w:eastAsia="黑体" w:cs="宋体"/>
                <w:bCs w:val="0"/>
                <w:kern w:val="0"/>
                <w:sz w:val="24"/>
              </w:rPr>
            </w:pPr>
            <w:r>
              <w:rPr>
                <w:rFonts w:hint="eastAsia" w:ascii="黑体" w:hAnsi="宋体" w:eastAsia="黑体" w:cs="宋体"/>
                <w:bCs w:val="0"/>
                <w:kern w:val="0"/>
                <w:sz w:val="24"/>
              </w:rPr>
              <w:t>评价部门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611" w:type="dxa"/>
            <w:vMerge w:val="restart"/>
            <w:noWrap w:val="0"/>
            <w:tcMar>
              <w:left w:w="28" w:type="dxa"/>
              <w:right w:w="28" w:type="dxa"/>
            </w:tcMar>
            <w:vAlign w:val="center"/>
          </w:tcPr>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r>
              <w:rPr>
                <w:rFonts w:hint="eastAsia" w:ascii="黑体" w:hAnsi="宋体" w:eastAsia="黑体" w:cs="宋体"/>
                <w:kern w:val="0"/>
                <w:sz w:val="24"/>
              </w:rPr>
              <w:t>1</w:t>
            </w:r>
          </w:p>
          <w:p>
            <w:pPr>
              <w:widowControl/>
              <w:jc w:val="center"/>
              <w:rPr>
                <w:rFonts w:hint="eastAsia" w:ascii="黑体" w:hAnsi="宋体" w:eastAsia="黑体" w:cs="宋体"/>
                <w:kern w:val="0"/>
                <w:sz w:val="24"/>
              </w:rPr>
            </w:pPr>
            <w:r>
              <w:rPr>
                <w:rFonts w:hint="eastAsia" w:ascii="黑体" w:hAnsi="宋体" w:eastAsia="黑体" w:cs="宋体"/>
                <w:kern w:val="0"/>
                <w:sz w:val="24"/>
              </w:rPr>
              <w:t>强化思想引领培育时代新人</w:t>
            </w: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r>
              <w:rPr>
                <w:rFonts w:hint="eastAsia" w:ascii="黑体" w:hAnsi="宋体" w:eastAsia="黑体" w:cs="宋体"/>
                <w:kern w:val="0"/>
                <w:sz w:val="24"/>
              </w:rPr>
              <w:t>(20分)</w:t>
            </w: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tc>
        <w:tc>
          <w:tcPr>
            <w:tcW w:w="1781" w:type="dxa"/>
            <w:vMerge w:val="restart"/>
            <w:noWrap w:val="0"/>
            <w:tcMar>
              <w:left w:w="28" w:type="dxa"/>
              <w:right w:w="28" w:type="dxa"/>
            </w:tcMar>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1-1</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理论学习</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(6分)</w:t>
            </w:r>
          </w:p>
        </w:tc>
        <w:tc>
          <w:tcPr>
            <w:tcW w:w="9813" w:type="dxa"/>
            <w:noWrap w:val="0"/>
            <w:tcMar>
              <w:left w:w="28" w:type="dxa"/>
              <w:right w:w="28" w:type="dxa"/>
            </w:tcMar>
            <w:vAlign w:val="center"/>
          </w:tcPr>
          <w:p>
            <w:pPr>
              <w:numPr>
                <w:ilvl w:val="0"/>
                <w:numId w:val="1"/>
              </w:numPr>
              <w:spacing w:line="440" w:lineRule="exact"/>
              <w:jc w:val="left"/>
              <w:rPr>
                <w:rFonts w:hint="eastAsia" w:ascii="楷体_GB2312" w:hAnsi="ˎ̥" w:eastAsia="楷体_GB2312" w:cs="宋体"/>
                <w:kern w:val="0"/>
                <w:sz w:val="24"/>
              </w:rPr>
            </w:pPr>
            <w:r>
              <w:rPr>
                <w:rFonts w:hint="eastAsia" w:ascii="楷体_GB2312" w:hAnsi="宋体" w:eastAsia="楷体_GB2312" w:cs="宋体"/>
                <w:kern w:val="0"/>
                <w:sz w:val="24"/>
                <w:lang w:val="zh-CN"/>
              </w:rPr>
              <w:t>持续深入组织学习习近平新时代中国特色社会主义思想和党的二十大精神，及时部署学习中央和市委重要会议、文件精神，有学习计划和督促检查。（</w:t>
            </w:r>
            <w:r>
              <w:rPr>
                <w:rFonts w:hint="eastAsia" w:ascii="楷体_GB2312" w:hAnsi="宋体" w:eastAsia="楷体_GB2312" w:cs="宋体"/>
                <w:kern w:val="0"/>
                <w:sz w:val="24"/>
              </w:rPr>
              <w:t>2</w:t>
            </w:r>
            <w:r>
              <w:rPr>
                <w:rFonts w:hint="eastAsia" w:ascii="楷体_GB2312" w:hAnsi="宋体" w:eastAsia="楷体_GB2312" w:cs="宋体"/>
                <w:kern w:val="0"/>
                <w:sz w:val="24"/>
                <w:lang w:val="zh-CN"/>
              </w:rPr>
              <w:t>分）</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bookmarkStart w:id="0" w:name="OLE_LINK1"/>
            <w:r>
              <w:rPr>
                <w:rFonts w:hint="eastAsia" w:ascii="楷体_GB2312" w:hAnsi="宋体" w:eastAsia="楷体_GB2312" w:cs="宋体"/>
                <w:kern w:val="0"/>
                <w:sz w:val="24"/>
              </w:rPr>
              <w:t>党委宣传部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hint="eastAsia" w:ascii="仿宋_GB2312" w:hAnsi="宋体" w:eastAsia="仿宋_GB2312" w:cs="宋体"/>
                <w:kern w:val="0"/>
                <w:sz w:val="24"/>
              </w:rPr>
            </w:pPr>
          </w:p>
        </w:tc>
        <w:tc>
          <w:tcPr>
            <w:tcW w:w="9813" w:type="dxa"/>
            <w:noWrap w:val="0"/>
            <w:tcMar>
              <w:left w:w="28" w:type="dxa"/>
              <w:right w:w="28" w:type="dxa"/>
            </w:tcMar>
            <w:vAlign w:val="center"/>
          </w:tcPr>
          <w:p>
            <w:pPr>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lang w:val="zh-CN"/>
              </w:rPr>
              <w:t>学院中心组学习每月一次，有内容、有形式、有主题、有记录、有总结、有成果，领导干部带头学习研讨，有述职述学，按要求做好学习情况报送。（2分）</w:t>
            </w:r>
          </w:p>
        </w:tc>
        <w:tc>
          <w:tcPr>
            <w:tcW w:w="1736" w:type="dxa"/>
            <w:noWrap w:val="0"/>
            <w:tcMar>
              <w:left w:w="85" w:type="dxa"/>
              <w:right w:w="57" w:type="dxa"/>
            </w:tcMar>
            <w:vAlign w:val="center"/>
          </w:tcPr>
          <w:p>
            <w:pPr>
              <w:jc w:val="center"/>
              <w:rPr>
                <w:rFonts w:ascii="楷体_GB2312" w:hAnsi="宋体" w:eastAsia="楷体_GB2312" w:cs="宋体"/>
                <w:kern w:val="0"/>
                <w:sz w:val="24"/>
              </w:rPr>
            </w:pPr>
            <w:r>
              <w:rPr>
                <w:rFonts w:hint="eastAsia" w:ascii="楷体_GB2312" w:hAnsi="宋体" w:eastAsia="楷体_GB2312" w:cs="宋体"/>
                <w:kern w:val="0"/>
                <w:sz w:val="24"/>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hint="eastAsia"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ˎ̥" w:eastAsia="楷体_GB2312" w:cs="宋体"/>
                <w:kern w:val="0"/>
                <w:sz w:val="24"/>
              </w:rPr>
            </w:pPr>
            <w:r>
              <w:rPr>
                <w:rFonts w:hint="eastAsia" w:ascii="楷体_GB2312" w:hAnsi="宋体" w:eastAsia="楷体_GB2312" w:cs="宋体"/>
                <w:kern w:val="0"/>
                <w:sz w:val="24"/>
                <w:lang w:val="zh-CN"/>
              </w:rPr>
              <w:t>组织教师定期开展政治理论学习，原则上每月不少于一次，有制度、有计划，内容丰富，形式多样</w:t>
            </w:r>
            <w:r>
              <w:rPr>
                <w:rFonts w:hint="eastAsia" w:ascii="楷体_GB2312" w:hAnsi="宋体" w:eastAsia="楷体_GB2312" w:cs="宋体"/>
                <w:kern w:val="0"/>
                <w:sz w:val="24"/>
              </w:rPr>
              <w:t>。（1分）</w:t>
            </w:r>
          </w:p>
        </w:tc>
        <w:tc>
          <w:tcPr>
            <w:tcW w:w="1736" w:type="dxa"/>
            <w:noWrap w:val="0"/>
            <w:tcMar>
              <w:left w:w="85" w:type="dxa"/>
              <w:right w:w="57" w:type="dxa"/>
            </w:tcMar>
            <w:vAlign w:val="center"/>
          </w:tcPr>
          <w:p>
            <w:pPr>
              <w:jc w:val="center"/>
              <w:rPr>
                <w:rFonts w:ascii="楷体_GB2312" w:hAnsi="宋体" w:eastAsia="楷体_GB2312" w:cs="宋体"/>
                <w:kern w:val="0"/>
                <w:sz w:val="24"/>
              </w:rPr>
            </w:pPr>
            <w:r>
              <w:rPr>
                <w:rFonts w:hint="eastAsia" w:ascii="楷体_GB2312" w:hAnsi="宋体" w:eastAsia="楷体_GB2312" w:cs="宋体"/>
                <w:kern w:val="0"/>
                <w:sz w:val="24"/>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hint="eastAsia"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lang w:val="zh-CN"/>
              </w:rPr>
            </w:pPr>
            <w:r>
              <w:rPr>
                <w:rFonts w:hint="eastAsia" w:ascii="楷体_GB2312" w:hAnsi="宋体" w:eastAsia="楷体_GB2312" w:cs="宋体"/>
                <w:kern w:val="0"/>
                <w:sz w:val="24"/>
                <w:lang w:val="zh-CN"/>
              </w:rPr>
              <w:t>用好“学习强国”学习平台开展学习，原则上做到党员师生全覆盖，二级党组织定期了解掌握师生党员学习情况，做好督促指导。（</w:t>
            </w:r>
            <w:r>
              <w:rPr>
                <w:rFonts w:hint="eastAsia" w:ascii="楷体_GB2312" w:hAnsi="宋体" w:eastAsia="楷体_GB2312" w:cs="宋体"/>
                <w:kern w:val="0"/>
                <w:sz w:val="24"/>
              </w:rPr>
              <w:t>1分</w:t>
            </w:r>
            <w:r>
              <w:rPr>
                <w:rFonts w:hint="eastAsia" w:ascii="楷体_GB2312" w:hAnsi="宋体" w:eastAsia="楷体_GB2312" w:cs="宋体"/>
                <w:kern w:val="0"/>
                <w:sz w:val="24"/>
                <w:lang w:val="zh-CN"/>
              </w:rPr>
              <w:t>）</w:t>
            </w:r>
          </w:p>
        </w:tc>
        <w:tc>
          <w:tcPr>
            <w:tcW w:w="1736" w:type="dxa"/>
            <w:noWrap w:val="0"/>
            <w:tcMar>
              <w:left w:w="85" w:type="dxa"/>
              <w:right w:w="57" w:type="dxa"/>
            </w:tcMar>
            <w:vAlign w:val="center"/>
          </w:tcPr>
          <w:p>
            <w:pPr>
              <w:jc w:val="center"/>
              <w:rPr>
                <w:rFonts w:hint="eastAsia" w:ascii="楷体_GB2312" w:hAnsi="宋体" w:eastAsia="楷体_GB2312" w:cs="宋体"/>
                <w:kern w:val="0"/>
                <w:sz w:val="24"/>
              </w:rPr>
            </w:pPr>
            <w:r>
              <w:rPr>
                <w:rFonts w:hint="eastAsia" w:ascii="楷体_GB2312" w:hAnsi="宋体" w:eastAsia="楷体_GB2312" w:cs="宋体"/>
                <w:kern w:val="0"/>
                <w:sz w:val="24"/>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restart"/>
            <w:noWrap w:val="0"/>
            <w:tcMar>
              <w:left w:w="28" w:type="dxa"/>
              <w:right w:w="28" w:type="dxa"/>
            </w:tcMar>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1-2</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思政教育</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（5分）</w:t>
            </w:r>
          </w:p>
        </w:tc>
        <w:tc>
          <w:tcPr>
            <w:tcW w:w="9813" w:type="dxa"/>
            <w:noWrap w:val="0"/>
            <w:tcMar>
              <w:left w:w="28" w:type="dxa"/>
              <w:right w:w="28" w:type="dxa"/>
            </w:tcMar>
            <w:vAlign w:val="center"/>
          </w:tcPr>
          <w:p>
            <w:pPr>
              <w:widowControl/>
              <w:numPr>
                <w:ilvl w:val="0"/>
                <w:numId w:val="1"/>
              </w:numPr>
              <w:spacing w:line="440" w:lineRule="exact"/>
              <w:jc w:val="left"/>
              <w:rPr>
                <w:rFonts w:ascii="楷体_GB2312" w:hAnsi="宋体" w:eastAsia="楷体_GB2312" w:cs="宋体"/>
                <w:kern w:val="0"/>
                <w:sz w:val="24"/>
              </w:rPr>
            </w:pPr>
            <w:r>
              <w:rPr>
                <w:rFonts w:hint="eastAsia" w:ascii="楷体_GB2312" w:hAnsi="宋体" w:eastAsia="楷体_GB2312" w:cs="宋体"/>
                <w:kern w:val="0"/>
                <w:sz w:val="24"/>
                <w:lang w:val="zh-CN"/>
              </w:rPr>
              <w:t>深化“课程思政”建设，发挥专业课程的育人功能，课程思政改革有显著成果。持续深化“三全育人”综合改革，</w:t>
            </w:r>
            <w:r>
              <w:rPr>
                <w:rFonts w:hint="eastAsia" w:ascii="楷体_GB2312" w:hAnsi="宋体" w:eastAsia="楷体_GB2312" w:cs="宋体"/>
                <w:kern w:val="0"/>
                <w:sz w:val="24"/>
              </w:rPr>
              <w:t>形成具有学院特色的经验做法和工作品牌。（2分）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教务处</w:t>
            </w:r>
          </w:p>
          <w:p>
            <w:pPr>
              <w:widowControl/>
              <w:jc w:val="center"/>
              <w:rPr>
                <w:rFonts w:ascii="楷体_GB2312" w:hAnsi="宋体" w:eastAsia="楷体_GB2312" w:cs="宋体"/>
                <w:kern w:val="0"/>
                <w:sz w:val="24"/>
              </w:rPr>
            </w:pPr>
            <w:r>
              <w:rPr>
                <w:rFonts w:hint="eastAsia" w:ascii="楷体_GB2312" w:hAnsi="宋体" w:eastAsia="楷体_GB2312" w:cs="宋体"/>
                <w:kern w:val="0"/>
                <w:sz w:val="24"/>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持续深化培育和践行社会主义核心价值观，坚持落细落小落实，将社会主义核心价值观融入日常教育教学。在社团活动、社会实践、网络宣传等日常思政教育中深入开展爱国主义教育和新时代公民道德教育，引导大学生成为担当民族复兴大任的时代新人。（3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p>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学生工作部</w:t>
            </w:r>
          </w:p>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学生处</w:t>
            </w:r>
          </w:p>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团委</w:t>
            </w:r>
          </w:p>
          <w:p>
            <w:pPr>
              <w:widowControl/>
              <w:jc w:val="center"/>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noWrap w:val="0"/>
            <w:tcMar>
              <w:left w:w="28" w:type="dxa"/>
              <w:right w:w="28" w:type="dxa"/>
            </w:tcMar>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1-3</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思政队伍</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(2分)</w:t>
            </w:r>
          </w:p>
        </w:tc>
        <w:tc>
          <w:tcPr>
            <w:tcW w:w="9813" w:type="dxa"/>
            <w:noWrap w:val="0"/>
            <w:tcMar>
              <w:left w:w="28" w:type="dxa"/>
              <w:right w:w="28" w:type="dxa"/>
            </w:tcMar>
            <w:vAlign w:val="center"/>
          </w:tcPr>
          <w:p>
            <w:pPr>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思想政治工作专门队伍建设有规划，有</w:t>
            </w:r>
            <w:r>
              <w:rPr>
                <w:rFonts w:hint="eastAsia" w:ascii="楷体_GB2312" w:eastAsia="楷体_GB2312"/>
                <w:sz w:val="24"/>
              </w:rPr>
              <w:t>培训、考察、科研和考核激励机制</w:t>
            </w:r>
            <w:r>
              <w:rPr>
                <w:rFonts w:hint="eastAsia" w:ascii="楷体_GB2312" w:hAnsi="宋体" w:eastAsia="楷体_GB2312" w:cs="宋体"/>
                <w:kern w:val="0"/>
                <w:sz w:val="24"/>
              </w:rPr>
              <w:t>。思想政治工作队伍</w:t>
            </w:r>
            <w:r>
              <w:rPr>
                <w:rFonts w:hint="eastAsia" w:ascii="楷体_GB2312" w:eastAsia="楷体_GB2312"/>
                <w:sz w:val="24"/>
              </w:rPr>
              <w:t>双重身份，落实双重待遇，实现双线晋升</w:t>
            </w:r>
            <w:r>
              <w:rPr>
                <w:rFonts w:hint="eastAsia" w:ascii="楷体_GB2312" w:hAnsi="宋体" w:eastAsia="楷体_GB2312" w:cs="宋体"/>
                <w:kern w:val="0"/>
                <w:sz w:val="24"/>
              </w:rPr>
              <w:t xml:space="preserve">。 (2分) </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restart"/>
            <w:noWrap w:val="0"/>
            <w:tcMar>
              <w:left w:w="28" w:type="dxa"/>
              <w:right w:w="28" w:type="dxa"/>
            </w:tcMar>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１-4</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师德师风</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(5分)</w:t>
            </w: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师德和学术道德规范管理制度完善，组织</w:t>
            </w:r>
            <w:r>
              <w:rPr>
                <w:rFonts w:hint="eastAsia" w:ascii="楷体_GB2312" w:eastAsia="楷体_GB2312"/>
                <w:sz w:val="24"/>
              </w:rPr>
              <w:t>开展对新聘任教师、青年教师、学术骨干、留学回国教师等不同群体的思想与师德教育。</w:t>
            </w:r>
            <w:r>
              <w:rPr>
                <w:rFonts w:hint="eastAsia" w:ascii="楷体_GB2312" w:hAnsi="宋体" w:eastAsia="楷体_GB2312" w:cs="宋体"/>
                <w:kern w:val="0"/>
                <w:sz w:val="24"/>
              </w:rPr>
              <w:t>（2分）</w:t>
            </w:r>
          </w:p>
        </w:tc>
        <w:tc>
          <w:tcPr>
            <w:tcW w:w="1736" w:type="dxa"/>
            <w:noWrap w:val="0"/>
            <w:tcMar>
              <w:left w:w="85" w:type="dxa"/>
              <w:right w:w="57" w:type="dxa"/>
            </w:tcMar>
            <w:vAlign w:val="center"/>
          </w:tcPr>
          <w:p>
            <w:pPr>
              <w:widowControl/>
              <w:ind w:left="-84" w:leftChars="-30"/>
              <w:jc w:val="center"/>
              <w:rPr>
                <w:rFonts w:hint="eastAsia" w:ascii="楷体_GB2312" w:hAnsi="宋体" w:eastAsia="楷体_GB2312" w:cs="宋体"/>
                <w:kern w:val="0"/>
                <w:sz w:val="24"/>
              </w:rPr>
            </w:pPr>
            <w:r>
              <w:rPr>
                <w:rFonts w:hint="eastAsia" w:ascii="楷体_GB2312" w:hAnsi="宋体" w:eastAsia="楷体_GB2312" w:cs="宋体"/>
                <w:kern w:val="0"/>
                <w:sz w:val="24"/>
              </w:rPr>
              <w:t>教师工作部</w:t>
            </w:r>
          </w:p>
          <w:p>
            <w:pPr>
              <w:widowControl/>
              <w:ind w:left="-84" w:leftChars="-30"/>
              <w:jc w:val="center"/>
              <w:rPr>
                <w:rFonts w:ascii="楷体_GB2312" w:hAnsi="宋体" w:eastAsia="楷体_GB2312" w:cs="宋体"/>
                <w:kern w:val="0"/>
                <w:sz w:val="24"/>
              </w:rPr>
            </w:pPr>
            <w:r>
              <w:rPr>
                <w:rFonts w:hint="eastAsia" w:ascii="楷体_GB2312" w:hAnsi="宋体" w:eastAsia="楷体_GB2312" w:cs="宋体"/>
                <w:kern w:val="0"/>
                <w:sz w:val="24"/>
              </w:rPr>
              <w:t>科研处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eastAsia="楷体_GB2312"/>
                <w:sz w:val="24"/>
              </w:rPr>
            </w:pPr>
            <w:r>
              <w:rPr>
                <w:rFonts w:hint="eastAsia" w:ascii="楷体_GB2312" w:hAnsi="宋体" w:eastAsia="楷体_GB2312" w:cs="宋体"/>
                <w:kern w:val="0"/>
                <w:sz w:val="24"/>
              </w:rPr>
              <w:t xml:space="preserve">将教师思想政治和师德师风建设作为基层精神文明建设的重要观察内容，开展形式多样的师德教育主题活动，引导广大教师以德立身、以德立学、以德施教、以德育德，争做“四有”好老师。积极参加学校开展的教书育人标兵、我心目中的好老师等先进典型评选和宣传活动。(3分) </w:t>
            </w:r>
          </w:p>
        </w:tc>
        <w:tc>
          <w:tcPr>
            <w:tcW w:w="1736" w:type="dxa"/>
            <w:noWrap w:val="0"/>
            <w:tcMar>
              <w:left w:w="85" w:type="dxa"/>
              <w:right w:w="57" w:type="dxa"/>
            </w:tcMar>
            <w:vAlign w:val="center"/>
          </w:tcPr>
          <w:p>
            <w:pPr>
              <w:widowControl/>
              <w:ind w:left="-84" w:leftChars="-30"/>
              <w:jc w:val="center"/>
              <w:rPr>
                <w:rFonts w:ascii="楷体_GB2312" w:hAnsi="宋体" w:eastAsia="楷体_GB2312" w:cs="宋体"/>
                <w:kern w:val="0"/>
                <w:sz w:val="24"/>
              </w:rPr>
            </w:pPr>
            <w:r>
              <w:rPr>
                <w:rFonts w:hint="eastAsia" w:ascii="楷体_GB2312" w:hAnsi="宋体" w:eastAsia="楷体_GB2312" w:cs="宋体"/>
                <w:kern w:val="0"/>
                <w:sz w:val="24"/>
              </w:rPr>
              <w:t>教师</w:t>
            </w:r>
            <w:r>
              <w:rPr>
                <w:rFonts w:ascii="楷体_GB2312" w:hAnsi="宋体" w:eastAsia="楷体_GB2312" w:cs="宋体"/>
                <w:kern w:val="0"/>
                <w:sz w:val="24"/>
              </w:rPr>
              <w:t>工作部</w:t>
            </w:r>
          </w:p>
          <w:p>
            <w:pPr>
              <w:widowControl/>
              <w:ind w:left="-84" w:leftChars="-30"/>
              <w:jc w:val="center"/>
              <w:rPr>
                <w:rFonts w:hint="eastAsia" w:ascii="楷体_GB2312" w:hAnsi="宋体" w:eastAsia="楷体_GB2312" w:cs="宋体"/>
                <w:kern w:val="0"/>
                <w:sz w:val="24"/>
              </w:rPr>
            </w:pPr>
            <w:r>
              <w:rPr>
                <w:rFonts w:hint="eastAsia" w:ascii="楷体_GB2312" w:hAnsi="宋体" w:eastAsia="楷体_GB2312" w:cs="宋体"/>
                <w:kern w:val="0"/>
                <w:sz w:val="24"/>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noWrap w:val="0"/>
            <w:tcMar>
              <w:left w:w="28" w:type="dxa"/>
              <w:right w:w="28" w:type="dxa"/>
            </w:tcMar>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1-5</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文明修身</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（2分）</w:t>
            </w: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lang w:val="zh-CN"/>
              </w:rPr>
              <w:t>组织师生深入开展文明修身活动，加强广大师生的爱国主义教育和新时代公民道德教育，倡导新“七不”规范，提升师生文明素养。（</w:t>
            </w:r>
            <w:r>
              <w:rPr>
                <w:rFonts w:hint="eastAsia" w:ascii="楷体_GB2312" w:hAnsi="宋体" w:eastAsia="楷体_GB2312" w:cs="宋体"/>
                <w:kern w:val="0"/>
                <w:sz w:val="24"/>
              </w:rPr>
              <w:t>2分</w:t>
            </w:r>
            <w:r>
              <w:rPr>
                <w:rFonts w:hint="eastAsia" w:ascii="楷体_GB2312" w:hAnsi="宋体" w:eastAsia="楷体_GB2312" w:cs="宋体"/>
                <w:kern w:val="0"/>
                <w:sz w:val="24"/>
                <w:lang w:val="zh-CN"/>
              </w:rPr>
              <w:t>）</w:t>
            </w:r>
          </w:p>
        </w:tc>
        <w:tc>
          <w:tcPr>
            <w:tcW w:w="1736" w:type="dxa"/>
            <w:noWrap w:val="0"/>
            <w:tcMar>
              <w:left w:w="85" w:type="dxa"/>
              <w:right w:w="57" w:type="dxa"/>
            </w:tcMar>
            <w:vAlign w:val="center"/>
          </w:tcPr>
          <w:p>
            <w:pPr>
              <w:widowControl/>
              <w:ind w:left="-84" w:leftChars="-30"/>
              <w:jc w:val="center"/>
              <w:rPr>
                <w:rFonts w:ascii="楷体_GB2312" w:hAnsi="宋体" w:eastAsia="楷体_GB2312" w:cs="宋体"/>
                <w:kern w:val="0"/>
                <w:sz w:val="24"/>
              </w:rPr>
            </w:pPr>
            <w:r>
              <w:rPr>
                <w:rFonts w:hint="eastAsia" w:ascii="楷体_GB2312" w:hAnsi="宋体" w:eastAsia="楷体_GB2312" w:cs="宋体"/>
                <w:kern w:val="0"/>
                <w:sz w:val="24"/>
              </w:rPr>
              <w:t>文明督导组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611" w:type="dxa"/>
            <w:vMerge w:val="restart"/>
            <w:noWrap w:val="0"/>
            <w:tcMar>
              <w:left w:w="28" w:type="dxa"/>
              <w:right w:w="28" w:type="dxa"/>
            </w:tcMar>
            <w:vAlign w:val="center"/>
          </w:tcPr>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r>
              <w:rPr>
                <w:rFonts w:hint="eastAsia" w:ascii="黑体" w:hAnsi="宋体" w:eastAsia="黑体" w:cs="宋体"/>
                <w:kern w:val="0"/>
                <w:sz w:val="24"/>
              </w:rPr>
              <w:t>2</w:t>
            </w:r>
          </w:p>
          <w:p>
            <w:pPr>
              <w:widowControl/>
              <w:jc w:val="center"/>
              <w:rPr>
                <w:rFonts w:hint="eastAsia" w:ascii="黑体" w:hAnsi="宋体" w:eastAsia="黑体" w:cs="宋体"/>
                <w:kern w:val="0"/>
                <w:sz w:val="24"/>
              </w:rPr>
            </w:pPr>
            <w:r>
              <w:rPr>
                <w:rFonts w:hint="eastAsia" w:ascii="黑体" w:hAnsi="宋体" w:eastAsia="黑体" w:cs="宋体"/>
                <w:kern w:val="0"/>
                <w:sz w:val="24"/>
              </w:rPr>
              <w:t>党建引领深化</w:t>
            </w:r>
          </w:p>
          <w:p>
            <w:pPr>
              <w:widowControl/>
              <w:jc w:val="center"/>
              <w:rPr>
                <w:rFonts w:hint="eastAsia" w:ascii="黑体" w:hAnsi="宋体" w:eastAsia="黑体" w:cs="宋体"/>
                <w:kern w:val="0"/>
                <w:sz w:val="24"/>
              </w:rPr>
            </w:pPr>
            <w:r>
              <w:rPr>
                <w:rFonts w:hint="eastAsia" w:ascii="黑体" w:hAnsi="宋体" w:eastAsia="黑体" w:cs="宋体"/>
                <w:kern w:val="0"/>
                <w:sz w:val="24"/>
              </w:rPr>
              <w:t>主体责任落实</w:t>
            </w: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r>
              <w:rPr>
                <w:rFonts w:hint="eastAsia" w:ascii="黑体" w:hAnsi="宋体" w:eastAsia="黑体" w:cs="宋体"/>
                <w:kern w:val="0"/>
                <w:sz w:val="24"/>
              </w:rPr>
              <w:t>（23分）</w:t>
            </w: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仿宋_GB2312" w:hAnsi="宋体" w:eastAsia="仿宋_GB2312" w:cs="宋体"/>
                <w:kern w:val="0"/>
                <w:sz w:val="24"/>
              </w:rPr>
            </w:pPr>
          </w:p>
          <w:p>
            <w:pPr>
              <w:widowControl/>
              <w:jc w:val="center"/>
              <w:rPr>
                <w:rFonts w:hint="eastAsia" w:ascii="仿宋_GB2312" w:hAnsi="宋体" w:eastAsia="仿宋_GB2312" w:cs="宋体"/>
                <w:kern w:val="0"/>
                <w:sz w:val="24"/>
              </w:rPr>
            </w:pPr>
          </w:p>
          <w:p>
            <w:pPr>
              <w:widowControl/>
              <w:jc w:val="center"/>
              <w:rPr>
                <w:rFonts w:hint="eastAsia" w:ascii="黑体" w:hAnsi="宋体" w:eastAsia="黑体" w:cs="宋体"/>
                <w:kern w:val="0"/>
                <w:sz w:val="24"/>
              </w:rPr>
            </w:pPr>
          </w:p>
          <w:p>
            <w:pPr>
              <w:widowControl/>
              <w:jc w:val="center"/>
              <w:rPr>
                <w:rFonts w:hint="eastAsia" w:ascii="仿宋_GB2312" w:hAnsi="宋体" w:eastAsia="仿宋_GB2312" w:cs="宋体"/>
                <w:kern w:val="0"/>
                <w:sz w:val="24"/>
              </w:rPr>
            </w:pPr>
          </w:p>
          <w:p>
            <w:pPr>
              <w:widowControl/>
              <w:jc w:val="center"/>
              <w:rPr>
                <w:rFonts w:hint="eastAsia" w:ascii="黑体" w:hAnsi="宋体" w:eastAsia="黑体" w:cs="宋体"/>
                <w:kern w:val="0"/>
                <w:sz w:val="24"/>
              </w:rPr>
            </w:pPr>
          </w:p>
        </w:tc>
        <w:tc>
          <w:tcPr>
            <w:tcW w:w="1781" w:type="dxa"/>
            <w:vMerge w:val="restart"/>
            <w:noWrap w:val="0"/>
            <w:tcMar>
              <w:left w:w="28" w:type="dxa"/>
              <w:right w:w="28" w:type="dxa"/>
            </w:tcMar>
            <w:vAlign w:val="center"/>
          </w:tcPr>
          <w:p>
            <w:pPr>
              <w:widowControl/>
              <w:jc w:val="center"/>
              <w:rPr>
                <w:rFonts w:hint="eastAsia" w:ascii="仿宋_GB2312" w:hAnsi="宋体" w:eastAsia="仿宋_GB2312" w:cs="宋体"/>
                <w:kern w:val="0"/>
                <w:sz w:val="24"/>
              </w:rPr>
            </w:pP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2-6</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班子建设</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（7分）</w:t>
            </w:r>
          </w:p>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pStyle w:val="3"/>
              <w:numPr>
                <w:ilvl w:val="0"/>
                <w:numId w:val="1"/>
              </w:numPr>
              <w:spacing w:before="0" w:beforeAutospacing="0" w:after="0" w:afterAutospacing="0" w:line="440" w:lineRule="exact"/>
              <w:rPr>
                <w:rFonts w:hint="eastAsia" w:ascii="楷体_GB2312" w:hAnsi="Times New Roman" w:eastAsia="楷体_GB2312" w:cs="Times New Roman"/>
                <w:kern w:val="2"/>
                <w:lang w:val="zh-CN"/>
              </w:rPr>
            </w:pPr>
            <w:r>
              <w:rPr>
                <w:rFonts w:hint="eastAsia" w:ascii="楷体_GB2312" w:hAnsi="Times New Roman" w:eastAsia="楷体_GB2312" w:cs="Times New Roman"/>
                <w:kern w:val="2"/>
                <w:lang w:val="zh-CN"/>
              </w:rPr>
              <w:t>领导班子要带头增强“四个意识”，坚定“四个自信”，做到“两个维护”，不折不扣贯彻落实党中央各项决策部署，确保思想行动与党中央保持一致。（</w:t>
            </w:r>
            <w:r>
              <w:rPr>
                <w:rFonts w:hint="eastAsia" w:ascii="楷体_GB2312" w:hAnsi="Times New Roman" w:eastAsia="楷体_GB2312" w:cs="Times New Roman"/>
                <w:kern w:val="2"/>
              </w:rPr>
              <w:t>2分</w:t>
            </w:r>
            <w:r>
              <w:rPr>
                <w:rFonts w:hint="eastAsia" w:ascii="楷体_GB2312" w:hAnsi="Times New Roman" w:eastAsia="楷体_GB2312" w:cs="Times New Roman"/>
                <w:kern w:val="2"/>
                <w:lang w:val="zh-CN"/>
              </w:rPr>
              <w:t>）</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党委组织部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pStyle w:val="3"/>
              <w:numPr>
                <w:ilvl w:val="0"/>
                <w:numId w:val="1"/>
              </w:numPr>
              <w:spacing w:before="0" w:beforeAutospacing="0" w:after="0" w:afterAutospacing="0" w:line="440" w:lineRule="exact"/>
              <w:rPr>
                <w:rFonts w:hint="eastAsia" w:ascii="楷体_GB2312" w:hAnsi="Times New Roman" w:eastAsia="楷体_GB2312" w:cs="Times New Roman"/>
                <w:kern w:val="2"/>
              </w:rPr>
            </w:pPr>
            <w:r>
              <w:rPr>
                <w:rFonts w:hint="eastAsia" w:ascii="楷体_GB2312" w:eastAsia="楷体_GB2312"/>
                <w:lang w:val="zh-CN"/>
              </w:rPr>
              <w:t>落实党委意识形态、基层党建、党风廉政建设和党内监督主体责任。</w:t>
            </w:r>
            <w:r>
              <w:rPr>
                <w:rFonts w:hint="eastAsia" w:ascii="楷体_GB2312" w:eastAsia="楷体_GB2312"/>
              </w:rPr>
              <w:t>通过党政联席会议讨论决定重要事项。</w:t>
            </w:r>
            <w:r>
              <w:rPr>
                <w:rFonts w:hint="eastAsia" w:ascii="楷体_GB2312" w:hAnsi="Times New Roman" w:eastAsia="楷体_GB2312" w:cs="Times New Roman"/>
                <w:kern w:val="2"/>
              </w:rPr>
              <w:t>保证党政班子对“三重一大”事项集体决策。</w:t>
            </w:r>
            <w:r>
              <w:rPr>
                <w:rFonts w:hint="eastAsia" w:ascii="楷体_GB2312" w:eastAsia="楷体_GB2312"/>
                <w:lang w:val="zh-CN"/>
              </w:rPr>
              <w:t>落实巡视巡察及班子民主生活会提出的整改任务。</w:t>
            </w:r>
            <w:r>
              <w:rPr>
                <w:rFonts w:hint="eastAsia" w:ascii="楷体_GB2312" w:hAnsi="Times New Roman" w:eastAsia="楷体_GB2312" w:cs="Times New Roman"/>
                <w:kern w:val="2"/>
              </w:rPr>
              <w:t>班子</w:t>
            </w:r>
            <w:r>
              <w:rPr>
                <w:rFonts w:hint="eastAsia" w:ascii="楷体_GB2312" w:eastAsia="楷体_GB2312"/>
              </w:rPr>
              <w:t>民主测评满意度达到90%以上，</w:t>
            </w:r>
            <w:r>
              <w:rPr>
                <w:rFonts w:hint="eastAsia" w:ascii="楷体_GB2312" w:hAnsi="Times New Roman" w:eastAsia="楷体_GB2312" w:cs="Times New Roman"/>
                <w:kern w:val="2"/>
              </w:rPr>
              <w:t>班子团结和谐</w:t>
            </w:r>
            <w:r>
              <w:rPr>
                <w:rFonts w:hint="eastAsia" w:ascii="楷体_GB2312" w:eastAsia="楷体_GB2312"/>
              </w:rPr>
              <w:t>。</w:t>
            </w:r>
            <w:r>
              <w:rPr>
                <w:rFonts w:hint="eastAsia" w:ascii="楷体_GB2312" w:hAnsi="Times New Roman" w:eastAsia="楷体_GB2312" w:cs="Times New Roman"/>
                <w:kern w:val="2"/>
              </w:rPr>
              <w:t>（3分）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党委组织部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pStyle w:val="3"/>
              <w:numPr>
                <w:ilvl w:val="0"/>
                <w:numId w:val="1"/>
              </w:numPr>
              <w:spacing w:before="0" w:beforeAutospacing="0" w:after="0" w:afterAutospacing="0" w:line="440" w:lineRule="exact"/>
              <w:rPr>
                <w:rFonts w:hint="eastAsia" w:ascii="楷体_GB2312" w:hAnsi="Times New Roman" w:eastAsia="楷体_GB2312" w:cs="Times New Roman"/>
                <w:kern w:val="2"/>
              </w:rPr>
            </w:pPr>
            <w:r>
              <w:rPr>
                <w:rFonts w:hint="eastAsia" w:ascii="楷体_GB2312" w:eastAsia="楷体_GB2312"/>
              </w:rPr>
              <w:t>建立班子成员联系和服务专家、基层、师生员工的制度，健全讲课听课、调查研究、谈心谈话接待等机制。积极开展“书记系列”党建活动。（1分）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党委组织部</w:t>
            </w:r>
          </w:p>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党委统战部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pStyle w:val="3"/>
              <w:numPr>
                <w:ilvl w:val="0"/>
                <w:numId w:val="1"/>
              </w:numPr>
              <w:spacing w:before="0" w:beforeAutospacing="0" w:after="0" w:afterAutospacing="0" w:line="440" w:lineRule="exact"/>
              <w:rPr>
                <w:rFonts w:hint="eastAsia" w:ascii="楷体_GB2312" w:eastAsia="楷体_GB2312"/>
              </w:rPr>
            </w:pPr>
            <w:r>
              <w:rPr>
                <w:rFonts w:hint="eastAsia" w:ascii="楷体_GB2312" w:eastAsia="楷体_GB2312"/>
              </w:rPr>
              <w:t>全方位培养引进用好人才，强化人才的政治引领，激发各类人才的创新创造活力，助推上海高水平人才高地建设。（1分）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党委组织部</w:t>
            </w:r>
          </w:p>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教师工作部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restart"/>
            <w:noWrap w:val="0"/>
            <w:tcMar>
              <w:left w:w="28" w:type="dxa"/>
              <w:right w:w="28" w:type="dxa"/>
            </w:tcMar>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2-7</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基层党建</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（4分）</w:t>
            </w:r>
          </w:p>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 xml:space="preserve">教职工和学生党组织党建工作责任落实，党组织设置合理、履责到位。基层党组织按时换届。(2分) </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党委组织部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hint="eastAsia"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坚持</w:t>
            </w:r>
            <w:r>
              <w:rPr>
                <w:rFonts w:hint="eastAsia" w:ascii="宋体" w:hAnsi="宋体" w:cs="宋体"/>
                <w:kern w:val="0"/>
                <w:sz w:val="24"/>
              </w:rPr>
              <w:t>执行</w:t>
            </w:r>
            <w:r>
              <w:rPr>
                <w:rFonts w:hint="eastAsia" w:ascii="楷体_GB2312" w:hAnsi="宋体" w:eastAsia="楷体_GB2312" w:cs="宋体"/>
                <w:kern w:val="0"/>
                <w:sz w:val="24"/>
              </w:rPr>
              <w:t>“三</w:t>
            </w:r>
            <w:r>
              <w:rPr>
                <w:rFonts w:hint="eastAsia" w:ascii="宋体" w:hAnsi="宋体" w:cs="宋体"/>
                <w:kern w:val="0"/>
                <w:sz w:val="24"/>
              </w:rPr>
              <w:t>会</w:t>
            </w:r>
            <w:r>
              <w:rPr>
                <w:rFonts w:hint="eastAsia" w:ascii="___WRD_EMBED_SUB_42" w:hAnsi="___WRD_EMBED_SUB_42" w:eastAsia="___WRD_EMBED_SUB_42" w:cs="___WRD_EMBED_SUB_42"/>
                <w:kern w:val="0"/>
                <w:sz w:val="24"/>
              </w:rPr>
              <w:t>一</w:t>
            </w:r>
            <w:r>
              <w:rPr>
                <w:rFonts w:hint="eastAsia" w:ascii="宋体" w:hAnsi="宋体" w:cs="宋体"/>
                <w:kern w:val="0"/>
                <w:sz w:val="24"/>
              </w:rPr>
              <w:t>课</w:t>
            </w:r>
            <w:r>
              <w:rPr>
                <w:rFonts w:hint="eastAsia" w:ascii="___WRD_EMBED_SUB_42" w:hAnsi="___WRD_EMBED_SUB_42" w:eastAsia="___WRD_EMBED_SUB_42" w:cs="___WRD_EMBED_SUB_42"/>
                <w:kern w:val="0"/>
                <w:sz w:val="24"/>
              </w:rPr>
              <w:t>”</w:t>
            </w:r>
            <w:r>
              <w:rPr>
                <w:rFonts w:hint="eastAsia" w:ascii="宋体" w:hAnsi="宋体" w:cs="宋体"/>
                <w:kern w:val="0"/>
                <w:sz w:val="24"/>
              </w:rPr>
              <w:t>等</w:t>
            </w:r>
            <w:r>
              <w:rPr>
                <w:rFonts w:hint="eastAsia" w:ascii="___WRD_EMBED_SUB_42" w:hAnsi="___WRD_EMBED_SUB_42" w:eastAsia="___WRD_EMBED_SUB_42" w:cs="___WRD_EMBED_SUB_42"/>
                <w:kern w:val="0"/>
                <w:sz w:val="24"/>
              </w:rPr>
              <w:t>组</w:t>
            </w:r>
            <w:r>
              <w:rPr>
                <w:rFonts w:hint="eastAsia" w:ascii="宋体" w:hAnsi="宋体" w:cs="宋体"/>
                <w:kern w:val="0"/>
                <w:sz w:val="24"/>
              </w:rPr>
              <w:t>织生活制</w:t>
            </w:r>
            <w:r>
              <w:rPr>
                <w:rFonts w:hint="eastAsia" w:ascii="___WRD_EMBED_SUB_42" w:hAnsi="___WRD_EMBED_SUB_42" w:eastAsia="___WRD_EMBED_SUB_42" w:cs="___WRD_EMBED_SUB_42"/>
                <w:kern w:val="0"/>
                <w:sz w:val="24"/>
              </w:rPr>
              <w:t>度，</w:t>
            </w:r>
            <w:r>
              <w:rPr>
                <w:rFonts w:hint="eastAsia" w:ascii="宋体" w:hAnsi="宋体" w:cs="宋体"/>
                <w:kern w:val="0"/>
                <w:sz w:val="24"/>
              </w:rPr>
              <w:t>党史学习教育常态化长效化扎实推进。保障党员知情权、参与权、选举权、监督权。</w:t>
            </w:r>
            <w:r>
              <w:rPr>
                <w:rFonts w:hint="eastAsia" w:ascii="___WRD_EMBED_SUB_42" w:hAnsi="___WRD_EMBED_SUB_42" w:eastAsia="___WRD_EMBED_SUB_42" w:cs="___WRD_EMBED_SUB_42"/>
                <w:kern w:val="0"/>
                <w:sz w:val="24"/>
              </w:rPr>
              <w:t>（</w:t>
            </w:r>
            <w:r>
              <w:rPr>
                <w:rFonts w:hint="eastAsia" w:ascii="楷体_GB2312" w:hAnsi="宋体" w:eastAsia="楷体_GB2312" w:cs="宋体"/>
                <w:kern w:val="0"/>
                <w:sz w:val="24"/>
              </w:rPr>
              <w:t>1</w:t>
            </w:r>
            <w:r>
              <w:rPr>
                <w:rFonts w:hint="eastAsia" w:ascii="宋体" w:hAnsi="宋体" w:cs="宋体"/>
                <w:kern w:val="0"/>
                <w:sz w:val="24"/>
              </w:rPr>
              <w:t>分</w:t>
            </w:r>
            <w:r>
              <w:rPr>
                <w:rFonts w:hint="eastAsia" w:ascii="___WRD_EMBED_SUB_42" w:hAnsi="___WRD_EMBED_SUB_42" w:eastAsia="___WRD_EMBED_SUB_42" w:cs="___WRD_EMBED_SUB_42"/>
                <w:kern w:val="0"/>
                <w:sz w:val="24"/>
              </w:rPr>
              <w:t>）</w:t>
            </w:r>
            <w:r>
              <w:rPr>
                <w:rFonts w:hint="eastAsia" w:ascii="楷体_GB2312" w:hAnsi="宋体" w:eastAsia="楷体_GB2312" w:cs="宋体"/>
                <w:kern w:val="0"/>
                <w:sz w:val="24"/>
              </w:rPr>
              <w:t xml:space="preserve"> </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党委组织部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hint="eastAsia"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 xml:space="preserve">重视发展高层次人才、优秀青年教师、优秀学生入党，做好对入党积极分子的教育、培养和考察。党员日常教育管理有制度有措施，党员先锋模范作用得到群众认可。 (1分) </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党委组织部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restart"/>
            <w:noWrap w:val="0"/>
            <w:tcMar>
              <w:left w:w="28" w:type="dxa"/>
              <w:right w:w="28" w:type="dxa"/>
            </w:tcMar>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2-8</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管党治党</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（4分）</w:t>
            </w: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落实党风廉政建设党政主体责任，健全党风廉政工作“四责协同”机制。</w:t>
            </w:r>
            <w:r>
              <w:rPr>
                <w:rFonts w:hint="eastAsia" w:ascii="楷体_GB2312" w:eastAsia="楷体_GB2312"/>
                <w:sz w:val="24"/>
              </w:rPr>
              <w:t>落实党政班子成员“一岗双责”、干部述职述廉，以及</w:t>
            </w:r>
            <w:r>
              <w:rPr>
                <w:rFonts w:hint="eastAsia" w:ascii="楷体_GB2312" w:hAnsi="宋体" w:eastAsia="楷体_GB2312" w:cs="宋体"/>
                <w:kern w:val="0"/>
                <w:sz w:val="24"/>
              </w:rPr>
              <w:t>重大事项报告、个人收入申报、戒勉谈话等各项制度。（1分）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纪委、监察处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hint="eastAsia"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对党员干部、师生员工开展经常性的反腐倡廉宣传和警示教育。党风廉政建设的群众满意率90%以上。（1分）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纪委、监察处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hint="eastAsia"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领导干部严格遵守八项规定。师生员工反映情况、表达诉求渠道畅通。（2分）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纪委、监察处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restart"/>
            <w:noWrap w:val="0"/>
            <w:tcMar>
              <w:left w:w="28" w:type="dxa"/>
              <w:right w:w="28" w:type="dxa"/>
            </w:tcMar>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2-9</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意识形态</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（4分）</w:t>
            </w: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宋体" w:hAnsi="宋体" w:cs="宋体"/>
                <w:kern w:val="0"/>
                <w:sz w:val="24"/>
              </w:rPr>
              <w:t>规范课堂、哲学社会科学</w:t>
            </w:r>
            <w:r>
              <w:rPr>
                <w:rFonts w:hint="eastAsia" w:ascii="___WRD_EMBED_SUB_42" w:hAnsi="___WRD_EMBED_SUB_42" w:eastAsia="___WRD_EMBED_SUB_42" w:cs="___WRD_EMBED_SUB_42"/>
                <w:kern w:val="0"/>
                <w:sz w:val="24"/>
              </w:rPr>
              <w:t>报</w:t>
            </w:r>
            <w:r>
              <w:rPr>
                <w:rFonts w:hint="eastAsia" w:ascii="宋体" w:hAnsi="宋体" w:cs="宋体"/>
                <w:kern w:val="0"/>
                <w:sz w:val="24"/>
              </w:rPr>
              <w:t>告会、论坛、研讨会、讲座、出版和使用原版外</w:t>
            </w:r>
            <w:r>
              <w:rPr>
                <w:rFonts w:hint="eastAsia" w:ascii="___WRD_EMBED_SUB_42" w:hAnsi="___WRD_EMBED_SUB_42" w:eastAsia="___WRD_EMBED_SUB_42" w:cs="___WRD_EMBED_SUB_42"/>
                <w:kern w:val="0"/>
                <w:sz w:val="24"/>
              </w:rPr>
              <w:t>文</w:t>
            </w:r>
            <w:r>
              <w:rPr>
                <w:rFonts w:hint="eastAsia" w:ascii="宋体" w:hAnsi="宋体" w:cs="宋体"/>
                <w:kern w:val="0"/>
                <w:sz w:val="24"/>
              </w:rPr>
              <w:t>教材的</w:t>
            </w:r>
            <w:r>
              <w:rPr>
                <w:rFonts w:hint="eastAsia" w:ascii="___WRD_EMBED_SUB_42" w:hAnsi="___WRD_EMBED_SUB_42" w:eastAsia="___WRD_EMBED_SUB_42" w:cs="___WRD_EMBED_SUB_42"/>
                <w:kern w:val="0"/>
                <w:sz w:val="24"/>
              </w:rPr>
              <w:t>管理</w:t>
            </w:r>
            <w:r>
              <w:rPr>
                <w:rFonts w:hint="eastAsia" w:ascii="宋体" w:hAnsi="宋体" w:cs="宋体"/>
                <w:kern w:val="0"/>
                <w:sz w:val="24"/>
              </w:rPr>
              <w:t>。</w:t>
            </w:r>
            <w:r>
              <w:rPr>
                <w:rFonts w:hint="eastAsia" w:ascii="楷体_GB2312" w:hAnsi="宋体" w:eastAsia="楷体_GB2312" w:cs="宋体"/>
                <w:kern w:val="0"/>
                <w:sz w:val="24"/>
              </w:rPr>
              <w:t>（2</w:t>
            </w:r>
            <w:r>
              <w:rPr>
                <w:rFonts w:hint="eastAsia" w:ascii="宋体" w:hAnsi="宋体" w:cs="宋体"/>
                <w:kern w:val="0"/>
                <w:sz w:val="24"/>
              </w:rPr>
              <w:t>分</w:t>
            </w:r>
            <w:r>
              <w:rPr>
                <w:rFonts w:hint="eastAsia" w:ascii="___WRD_EMBED_SUB_42" w:hAnsi="___WRD_EMBED_SUB_42" w:eastAsia="___WRD_EMBED_SUB_42" w:cs="___WRD_EMBED_SUB_42"/>
                <w:kern w:val="0"/>
                <w:sz w:val="24"/>
              </w:rPr>
              <w:t>）</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hint="eastAsia"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严</w:t>
            </w:r>
            <w:r>
              <w:rPr>
                <w:rFonts w:hint="eastAsia" w:ascii="宋体" w:hAnsi="宋体" w:cs="宋体"/>
                <w:kern w:val="0"/>
                <w:sz w:val="24"/>
              </w:rPr>
              <w:t>格执行学</w:t>
            </w:r>
            <w:r>
              <w:rPr>
                <w:rFonts w:hint="eastAsia" w:ascii="___WRD_EMBED_SUB_42" w:hAnsi="___WRD_EMBED_SUB_42" w:eastAsia="___WRD_EMBED_SUB_42" w:cs="___WRD_EMBED_SUB_42"/>
                <w:kern w:val="0"/>
                <w:sz w:val="24"/>
              </w:rPr>
              <w:t>校新</w:t>
            </w:r>
            <w:r>
              <w:rPr>
                <w:rFonts w:hint="eastAsia" w:ascii="宋体" w:hAnsi="宋体" w:cs="宋体"/>
                <w:kern w:val="0"/>
                <w:sz w:val="24"/>
              </w:rPr>
              <w:t>闻宣传和信息</w:t>
            </w:r>
            <w:r>
              <w:rPr>
                <w:rFonts w:hint="eastAsia" w:ascii="___WRD_EMBED_SUB_42" w:hAnsi="___WRD_EMBED_SUB_42" w:eastAsia="___WRD_EMBED_SUB_42" w:cs="___WRD_EMBED_SUB_42"/>
                <w:kern w:val="0"/>
                <w:sz w:val="24"/>
              </w:rPr>
              <w:t>报</w:t>
            </w:r>
            <w:r>
              <w:rPr>
                <w:rFonts w:hint="eastAsia" w:ascii="宋体" w:hAnsi="宋体" w:cs="宋体"/>
                <w:kern w:val="0"/>
                <w:sz w:val="24"/>
              </w:rPr>
              <w:t>送相</w:t>
            </w:r>
            <w:r>
              <w:rPr>
                <w:rFonts w:hint="eastAsia" w:ascii="___WRD_EMBED_SUB_42" w:hAnsi="___WRD_EMBED_SUB_42" w:eastAsia="___WRD_EMBED_SUB_42" w:cs="___WRD_EMBED_SUB_42"/>
                <w:kern w:val="0"/>
                <w:sz w:val="24"/>
              </w:rPr>
              <w:t>关</w:t>
            </w:r>
            <w:r>
              <w:rPr>
                <w:rFonts w:hint="eastAsia" w:ascii="宋体" w:hAnsi="宋体" w:cs="宋体"/>
                <w:kern w:val="0"/>
                <w:sz w:val="24"/>
              </w:rPr>
              <w:t>规章制</w:t>
            </w:r>
            <w:r>
              <w:rPr>
                <w:rFonts w:hint="eastAsia" w:ascii="___WRD_EMBED_SUB_42" w:hAnsi="___WRD_EMBED_SUB_42" w:eastAsia="___WRD_EMBED_SUB_42" w:cs="___WRD_EMBED_SUB_42"/>
                <w:kern w:val="0"/>
                <w:sz w:val="24"/>
              </w:rPr>
              <w:t>度，</w:t>
            </w:r>
            <w:r>
              <w:rPr>
                <w:rFonts w:hint="eastAsia" w:ascii="宋体" w:hAnsi="宋体" w:cs="宋体"/>
                <w:kern w:val="0"/>
                <w:sz w:val="24"/>
              </w:rPr>
              <w:t>遇到突发事件</w:t>
            </w:r>
            <w:r>
              <w:rPr>
                <w:rFonts w:hint="eastAsia" w:ascii="___WRD_EMBED_SUB_42" w:hAnsi="___WRD_EMBED_SUB_42" w:eastAsia="___WRD_EMBED_SUB_42" w:cs="___WRD_EMBED_SUB_42"/>
                <w:kern w:val="0"/>
                <w:sz w:val="24"/>
              </w:rPr>
              <w:t>，</w:t>
            </w:r>
            <w:r>
              <w:rPr>
                <w:rFonts w:hint="eastAsia" w:ascii="宋体" w:hAnsi="宋体" w:cs="宋体"/>
                <w:kern w:val="0"/>
                <w:sz w:val="24"/>
              </w:rPr>
              <w:t>及时</w:t>
            </w:r>
            <w:r>
              <w:rPr>
                <w:rFonts w:hint="eastAsia" w:ascii="___WRD_EMBED_SUB_42" w:hAnsi="___WRD_EMBED_SUB_42" w:eastAsia="___WRD_EMBED_SUB_42" w:cs="___WRD_EMBED_SUB_42"/>
                <w:kern w:val="0"/>
                <w:sz w:val="24"/>
              </w:rPr>
              <w:t>上报</w:t>
            </w:r>
            <w:r>
              <w:rPr>
                <w:rFonts w:hint="eastAsia" w:ascii="宋体" w:hAnsi="宋体" w:cs="宋体"/>
                <w:kern w:val="0"/>
                <w:sz w:val="24"/>
              </w:rPr>
              <w:t>。</w:t>
            </w:r>
            <w:r>
              <w:rPr>
                <w:rFonts w:hint="eastAsia" w:ascii="楷体_GB2312" w:hAnsi="宋体" w:eastAsia="楷体_GB2312" w:cs="宋体"/>
                <w:kern w:val="0"/>
                <w:sz w:val="24"/>
              </w:rPr>
              <w:t>各类宣传平台、宣传物品语言文字表达规范化。</w:t>
            </w:r>
            <w:r>
              <w:rPr>
                <w:rFonts w:hint="eastAsia" w:ascii="___WRD_EMBED_SUB_42" w:hAnsi="___WRD_EMBED_SUB_42" w:eastAsia="___WRD_EMBED_SUB_42" w:cs="___WRD_EMBED_SUB_42"/>
                <w:kern w:val="0"/>
                <w:sz w:val="24"/>
              </w:rPr>
              <w:t>（</w:t>
            </w:r>
            <w:r>
              <w:rPr>
                <w:rFonts w:hint="eastAsia" w:ascii="楷体_GB2312" w:hAnsi="宋体" w:eastAsia="楷体_GB2312" w:cs="宋体"/>
                <w:kern w:val="0"/>
                <w:sz w:val="24"/>
              </w:rPr>
              <w:t>1</w:t>
            </w:r>
            <w:r>
              <w:rPr>
                <w:rFonts w:hint="eastAsia" w:ascii="宋体" w:hAnsi="宋体" w:cs="宋体"/>
                <w:kern w:val="0"/>
                <w:sz w:val="24"/>
              </w:rPr>
              <w:t>分</w:t>
            </w:r>
            <w:r>
              <w:rPr>
                <w:rFonts w:hint="eastAsia" w:ascii="___WRD_EMBED_SUB_42" w:hAnsi="___WRD_EMBED_SUB_42" w:eastAsia="___WRD_EMBED_SUB_42" w:cs="___WRD_EMBED_SUB_42"/>
                <w:kern w:val="0"/>
                <w:sz w:val="24"/>
              </w:rPr>
              <w:t>）</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hint="eastAsia"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加强舆情监测管控和应对处置工作，共同营造良好的校园网络舆论环境。（1分）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restart"/>
            <w:noWrap w:val="0"/>
            <w:tcMar>
              <w:left w:w="28" w:type="dxa"/>
              <w:right w:w="28" w:type="dxa"/>
            </w:tcMar>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2-10</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统战、离退休</w:t>
            </w:r>
          </w:p>
          <w:p>
            <w:pPr>
              <w:jc w:val="center"/>
              <w:rPr>
                <w:rFonts w:hint="eastAsia" w:ascii="仿宋_GB2312" w:hAnsi="宋体" w:eastAsia="仿宋_GB2312" w:cs="宋体"/>
                <w:kern w:val="0"/>
                <w:sz w:val="24"/>
              </w:rPr>
            </w:pPr>
            <w:r>
              <w:rPr>
                <w:rFonts w:hint="eastAsia" w:ascii="仿宋_GB2312" w:hAnsi="宋体" w:eastAsia="仿宋_GB2312" w:cs="宋体"/>
                <w:kern w:val="0"/>
                <w:sz w:val="24"/>
              </w:rPr>
              <w:t>（2分）</w:t>
            </w: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 xml:space="preserve">培养、举荐和选用党外代表人士，落实向党外人士通报情况、征求意见和联谊等制度。开展民族宗教、港澳台侨和海外统战工作。(1分) </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党委统战部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hint="eastAsia"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rPr>
                <w:rFonts w:hint="eastAsia" w:ascii="楷体_GB2312" w:hAnsi="宋体" w:eastAsia="楷体_GB2312" w:cs="宋体"/>
                <w:kern w:val="0"/>
                <w:sz w:val="24"/>
              </w:rPr>
            </w:pPr>
            <w:r>
              <w:rPr>
                <w:rFonts w:hint="eastAsia" w:ascii="楷体_GB2312" w:hAnsi="宋体" w:eastAsia="楷体_GB2312" w:cs="宋体"/>
                <w:kern w:val="0"/>
                <w:sz w:val="24"/>
              </w:rPr>
              <w:t xml:space="preserve">离退休干部各项政策落实，关心下一代工作有成效。(1分) </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离退休处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restart"/>
            <w:noWrap w:val="0"/>
            <w:tcMar>
              <w:left w:w="28" w:type="dxa"/>
              <w:right w:w="28" w:type="dxa"/>
            </w:tcMar>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2-11</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群团工作</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（2分）</w:t>
            </w: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建立健全“教职工之家”，积极争先创优。落实教职工疗休养、体检和互助帮困等制度。开展送温暖活动，丰富教职工文体活动。（1分）</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团学组织管理制度健全，工作形式多样。学生参与度高。（1分）</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611" w:type="dxa"/>
            <w:vMerge w:val="restart"/>
            <w:noWrap w:val="0"/>
            <w:tcMar>
              <w:left w:w="28" w:type="dxa"/>
              <w:right w:w="28" w:type="dxa"/>
            </w:tcMar>
            <w:vAlign w:val="center"/>
          </w:tcPr>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rPr>
                <w:rFonts w:hint="eastAsia" w:ascii="黑体" w:hAnsi="宋体" w:eastAsia="黑体" w:cs="宋体"/>
                <w:kern w:val="0"/>
                <w:sz w:val="24"/>
              </w:rPr>
            </w:pPr>
          </w:p>
          <w:p>
            <w:pPr>
              <w:widowControl/>
              <w:jc w:val="center"/>
              <w:rPr>
                <w:rFonts w:hint="eastAsia" w:ascii="黑体" w:hAnsi="宋体" w:eastAsia="黑体" w:cs="宋体"/>
                <w:kern w:val="0"/>
                <w:sz w:val="24"/>
              </w:rPr>
            </w:pPr>
            <w:r>
              <w:rPr>
                <w:rFonts w:hint="eastAsia" w:ascii="黑体" w:hAnsi="宋体" w:eastAsia="黑体" w:cs="宋体"/>
                <w:kern w:val="0"/>
                <w:sz w:val="24"/>
              </w:rPr>
              <w:t>3</w:t>
            </w:r>
          </w:p>
          <w:p>
            <w:pPr>
              <w:widowControl/>
              <w:jc w:val="center"/>
              <w:rPr>
                <w:rFonts w:hint="eastAsia" w:ascii="黑体" w:hAnsi="宋体" w:eastAsia="黑体" w:cs="宋体"/>
                <w:kern w:val="0"/>
                <w:sz w:val="24"/>
              </w:rPr>
            </w:pPr>
            <w:r>
              <w:rPr>
                <w:rFonts w:hint="eastAsia" w:ascii="黑体" w:hAnsi="宋体" w:eastAsia="黑体" w:cs="宋体"/>
                <w:kern w:val="0"/>
                <w:sz w:val="24"/>
              </w:rPr>
              <w:t>内涵发展持续</w:t>
            </w:r>
          </w:p>
          <w:p>
            <w:pPr>
              <w:widowControl/>
              <w:jc w:val="center"/>
              <w:rPr>
                <w:rFonts w:hint="eastAsia" w:ascii="黑体" w:hAnsi="宋体" w:eastAsia="黑体" w:cs="宋体"/>
                <w:kern w:val="0"/>
                <w:sz w:val="24"/>
              </w:rPr>
            </w:pPr>
            <w:r>
              <w:rPr>
                <w:rFonts w:hint="eastAsia" w:ascii="黑体" w:hAnsi="宋体" w:eastAsia="黑体" w:cs="宋体"/>
                <w:kern w:val="0"/>
                <w:sz w:val="24"/>
              </w:rPr>
              <w:t>办学质量显著</w:t>
            </w: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r>
              <w:rPr>
                <w:rFonts w:hint="eastAsia" w:ascii="黑体" w:hAnsi="宋体" w:eastAsia="黑体" w:cs="宋体"/>
                <w:kern w:val="0"/>
                <w:sz w:val="24"/>
              </w:rPr>
              <w:t>（20分）</w:t>
            </w: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p>
            <w:pPr>
              <w:jc w:val="center"/>
              <w:rPr>
                <w:rFonts w:hint="eastAsia" w:ascii="黑体" w:hAnsi="宋体" w:eastAsia="黑体" w:cs="宋体"/>
                <w:kern w:val="0"/>
                <w:sz w:val="24"/>
              </w:rPr>
            </w:pPr>
          </w:p>
        </w:tc>
        <w:tc>
          <w:tcPr>
            <w:tcW w:w="1781" w:type="dxa"/>
            <w:noWrap w:val="0"/>
            <w:tcMar>
              <w:left w:w="28" w:type="dxa"/>
              <w:right w:w="28" w:type="dxa"/>
            </w:tcMar>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3-12</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学院战略</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（2分）</w:t>
            </w: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推进“双一流”建设，制定学院中长期、“十四五”等发展规划和综合改革方案，办学定位科学，形成对接国家、上海和行业需求、与办学定位相匹配的发展目标。(2分）</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发展规划处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611" w:type="dxa"/>
            <w:vMerge w:val="continue"/>
            <w:noWrap w:val="0"/>
            <w:tcMar>
              <w:left w:w="28" w:type="dxa"/>
              <w:right w:w="28" w:type="dxa"/>
            </w:tcMar>
            <w:vAlign w:val="center"/>
          </w:tcPr>
          <w:p>
            <w:pPr>
              <w:jc w:val="center"/>
              <w:rPr>
                <w:rFonts w:hint="eastAsia" w:ascii="黑体" w:hAnsi="宋体" w:eastAsia="黑体" w:cs="宋体"/>
                <w:kern w:val="0"/>
                <w:sz w:val="24"/>
              </w:rPr>
            </w:pPr>
          </w:p>
        </w:tc>
        <w:tc>
          <w:tcPr>
            <w:tcW w:w="1781" w:type="dxa"/>
            <w:vMerge w:val="restart"/>
            <w:noWrap w:val="0"/>
            <w:tcMar>
              <w:left w:w="28" w:type="dxa"/>
              <w:right w:w="28" w:type="dxa"/>
            </w:tcMar>
            <w:vAlign w:val="center"/>
          </w:tcPr>
          <w:p>
            <w:pPr>
              <w:widowControl/>
              <w:jc w:val="center"/>
              <w:rPr>
                <w:rFonts w:hint="eastAsia" w:ascii="仿宋_GB2312" w:hAnsi="宋体" w:eastAsia="仿宋_GB2312" w:cs="宋体"/>
                <w:kern w:val="0"/>
                <w:sz w:val="24"/>
              </w:rPr>
            </w:pP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3-13</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内部治理</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（6分）</w:t>
            </w:r>
          </w:p>
        </w:tc>
        <w:tc>
          <w:tcPr>
            <w:tcW w:w="9813" w:type="dxa"/>
            <w:noWrap w:val="0"/>
            <w:tcMar>
              <w:left w:w="28" w:type="dxa"/>
              <w:right w:w="28" w:type="dxa"/>
            </w:tcMar>
            <w:vAlign w:val="center"/>
          </w:tcPr>
          <w:p>
            <w:pPr>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教授治学制度健全，学术委员会有效履行学术事务的决策、审议、评定和咨询功能。（2分）</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科研处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11" w:type="dxa"/>
            <w:vMerge w:val="continue"/>
            <w:noWrap w:val="0"/>
            <w:tcMar>
              <w:left w:w="28" w:type="dxa"/>
              <w:right w:w="28" w:type="dxa"/>
            </w:tcMar>
            <w:vAlign w:val="center"/>
          </w:tcPr>
          <w:p>
            <w:pPr>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hint="eastAsia"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教职工通过教代会行使民主管理和监督权利，对学院重大改革发展事项和关系职工利益的重要事项进行研究讨论或决定。（2分）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611" w:type="dxa"/>
            <w:vMerge w:val="continue"/>
            <w:noWrap w:val="0"/>
            <w:tcMar>
              <w:left w:w="28" w:type="dxa"/>
              <w:right w:w="28" w:type="dxa"/>
            </w:tcMar>
            <w:vAlign w:val="center"/>
          </w:tcPr>
          <w:p>
            <w:pPr>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hint="eastAsia" w:ascii="仿宋_GB2312" w:hAnsi="宋体" w:eastAsia="仿宋_GB2312" w:cs="宋体"/>
                <w:kern w:val="0"/>
                <w:sz w:val="24"/>
              </w:rPr>
            </w:pPr>
          </w:p>
        </w:tc>
        <w:tc>
          <w:tcPr>
            <w:tcW w:w="9813" w:type="dxa"/>
            <w:noWrap w:val="0"/>
            <w:tcMar>
              <w:left w:w="28" w:type="dxa"/>
              <w:right w:w="28" w:type="dxa"/>
            </w:tcMar>
            <w:vAlign w:val="center"/>
          </w:tcPr>
          <w:p>
            <w:pPr>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学生会、研究生会发挥自我教育、管理、服务作用形成制度。（１分）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611" w:type="dxa"/>
            <w:vMerge w:val="continue"/>
            <w:noWrap w:val="0"/>
            <w:tcMar>
              <w:left w:w="28" w:type="dxa"/>
              <w:right w:w="28" w:type="dxa"/>
            </w:tcMar>
            <w:vAlign w:val="center"/>
          </w:tcPr>
          <w:p>
            <w:pPr>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hint="eastAsia"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严格规范招生、学籍管理、收费和办学办班。建立健全财务制度。 (1分)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教务处</w:t>
            </w:r>
          </w:p>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研究生院</w:t>
            </w:r>
          </w:p>
          <w:p>
            <w:pPr>
              <w:widowControl/>
              <w:jc w:val="center"/>
              <w:rPr>
                <w:rFonts w:ascii="楷体_GB2312" w:hAnsi="宋体" w:eastAsia="楷体_GB2312" w:cs="宋体"/>
                <w:kern w:val="0"/>
                <w:sz w:val="24"/>
              </w:rPr>
            </w:pPr>
            <w:r>
              <w:rPr>
                <w:rFonts w:hint="eastAsia" w:ascii="楷体_GB2312" w:hAnsi="宋体" w:eastAsia="楷体_GB2312" w:cs="宋体"/>
                <w:kern w:val="0"/>
                <w:sz w:val="24"/>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11" w:type="dxa"/>
            <w:vMerge w:val="continue"/>
            <w:noWrap w:val="0"/>
            <w:tcMar>
              <w:left w:w="28" w:type="dxa"/>
              <w:right w:w="28" w:type="dxa"/>
            </w:tcMar>
            <w:vAlign w:val="center"/>
          </w:tcPr>
          <w:p>
            <w:pPr>
              <w:jc w:val="center"/>
              <w:rPr>
                <w:rFonts w:hint="eastAsia" w:ascii="黑体" w:hAnsi="宋体" w:eastAsia="黑体" w:cs="宋体"/>
                <w:kern w:val="0"/>
                <w:sz w:val="24"/>
              </w:rPr>
            </w:pPr>
          </w:p>
        </w:tc>
        <w:tc>
          <w:tcPr>
            <w:tcW w:w="1781" w:type="dxa"/>
            <w:vMerge w:val="restart"/>
            <w:noWrap w:val="0"/>
            <w:tcMar>
              <w:left w:w="28" w:type="dxa"/>
              <w:right w:w="28" w:type="dxa"/>
            </w:tcMar>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3-14</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教学科研</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（8分）</w:t>
            </w: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ascii="楷体_GB2312" w:hAnsi="宋体" w:eastAsia="楷体_GB2312" w:cs="宋体"/>
                <w:kern w:val="0"/>
                <w:sz w:val="24"/>
              </w:rPr>
              <w:t>师资力量、资源配置、经费安排和工作评价都要</w:t>
            </w:r>
            <w:r>
              <w:rPr>
                <w:rFonts w:hint="eastAsia" w:ascii="楷体_GB2312" w:hAnsi="宋体" w:eastAsia="楷体_GB2312" w:cs="宋体"/>
                <w:kern w:val="0"/>
                <w:sz w:val="24"/>
              </w:rPr>
              <w:t>体现</w:t>
            </w:r>
            <w:r>
              <w:rPr>
                <w:rFonts w:ascii="楷体_GB2312" w:hAnsi="宋体" w:eastAsia="楷体_GB2312" w:cs="宋体"/>
                <w:kern w:val="0"/>
                <w:sz w:val="24"/>
              </w:rPr>
              <w:t>教学中心</w:t>
            </w:r>
            <w:r>
              <w:rPr>
                <w:rFonts w:hint="eastAsia" w:ascii="楷体_GB2312" w:hAnsi="宋体" w:eastAsia="楷体_GB2312" w:cs="宋体"/>
                <w:kern w:val="0"/>
                <w:sz w:val="24"/>
              </w:rPr>
              <w:t xml:space="preserve">要求。落实骨干教师激励计划，教授、副教授为本科生上课达到90%以上。有完善的教学质量监控体系和教学事故处理机制。毕业论文（设计）、实践环节抽查情况优良。有学生满意度调查。(2分) </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教务处</w:t>
            </w:r>
          </w:p>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11" w:type="dxa"/>
            <w:vMerge w:val="continue"/>
            <w:noWrap w:val="0"/>
            <w:tcMar>
              <w:left w:w="28" w:type="dxa"/>
              <w:right w:w="28" w:type="dxa"/>
            </w:tcMar>
            <w:vAlign w:val="center"/>
          </w:tcPr>
          <w:p>
            <w:pPr>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面向服务国家战略和社会需求合理设置并不断优化学科和专业设置，实习实训基地建设满足教学改革要求。（2分）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教务处</w:t>
            </w:r>
          </w:p>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11" w:type="dxa"/>
            <w:vMerge w:val="continue"/>
            <w:noWrap w:val="0"/>
            <w:tcMar>
              <w:left w:w="28" w:type="dxa"/>
              <w:right w:w="28" w:type="dxa"/>
            </w:tcMar>
            <w:vAlign w:val="center"/>
          </w:tcPr>
          <w:p>
            <w:pPr>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广泛开展国际交流合作，培养学生国际交流能力，</w:t>
            </w:r>
            <w:r>
              <w:rPr>
                <w:rFonts w:hint="eastAsia" w:ascii="楷体_GB2312" w:eastAsia="楷体_GB2312"/>
                <w:sz w:val="24"/>
              </w:rPr>
              <w:t>留学生教育管理规范</w:t>
            </w:r>
            <w:r>
              <w:rPr>
                <w:rFonts w:hint="eastAsia" w:ascii="楷体_GB2312" w:hAnsi="宋体" w:eastAsia="楷体_GB2312" w:cs="宋体"/>
                <w:kern w:val="0"/>
                <w:sz w:val="24"/>
              </w:rPr>
              <w:t>。（1分）</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国际交流与合作处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11" w:type="dxa"/>
            <w:vMerge w:val="continue"/>
            <w:noWrap w:val="0"/>
            <w:tcMar>
              <w:left w:w="28" w:type="dxa"/>
              <w:right w:w="28" w:type="dxa"/>
            </w:tcMar>
            <w:vAlign w:val="center"/>
          </w:tcPr>
          <w:p>
            <w:pPr>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语言文字使用规范，教师普通话水平达到二级乙等以上。（1分）</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1" w:type="dxa"/>
            <w:vMerge w:val="continue"/>
            <w:noWrap w:val="0"/>
            <w:tcMar>
              <w:left w:w="28" w:type="dxa"/>
              <w:right w:w="28" w:type="dxa"/>
            </w:tcMar>
            <w:vAlign w:val="center"/>
          </w:tcPr>
          <w:p>
            <w:pPr>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科研成果的质量、层次、数量协调发展，科研成果转化、智库建设有成效。（1分）</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科研处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611" w:type="dxa"/>
            <w:vMerge w:val="continue"/>
            <w:noWrap w:val="0"/>
            <w:tcMar>
              <w:left w:w="28" w:type="dxa"/>
              <w:right w:w="28" w:type="dxa"/>
            </w:tcMar>
            <w:vAlign w:val="center"/>
          </w:tcPr>
          <w:p>
            <w:pPr>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科研组织、评价、投入等机制，协同创新机制有成效。（1分）</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科研处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restart"/>
            <w:noWrap w:val="0"/>
            <w:tcMar>
              <w:left w:w="28" w:type="dxa"/>
              <w:right w:w="28" w:type="dxa"/>
            </w:tcMar>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3-15</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学生工作</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（4分）</w:t>
            </w: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开展文明班级创建和诚信教育。学风建设有计划、有措施，学生遵守各项规章制度，学习风气良好。（1分）</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重视学生心理健康教育，有工作网络和心理危机预警干预机制。（1分）</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重视学生职业生涯发展教育。引导和鼓励毕业生到基层和西部就业有政策措施。（1分）</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就业指导中心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学生资助制度健全，措施落实。没有学生因贫辍学。（1分）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11" w:type="dxa"/>
            <w:vMerge w:val="restart"/>
            <w:noWrap w:val="0"/>
            <w:tcMar>
              <w:left w:w="28" w:type="dxa"/>
              <w:right w:w="28" w:type="dxa"/>
            </w:tcMar>
            <w:vAlign w:val="center"/>
          </w:tcPr>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r>
              <w:rPr>
                <w:rFonts w:hint="eastAsia" w:ascii="黑体" w:hAnsi="宋体" w:eastAsia="黑体" w:cs="宋体"/>
                <w:kern w:val="0"/>
                <w:sz w:val="24"/>
              </w:rPr>
              <w:t>4</w:t>
            </w:r>
          </w:p>
          <w:p>
            <w:pPr>
              <w:widowControl/>
              <w:jc w:val="center"/>
              <w:rPr>
                <w:rFonts w:hint="eastAsia" w:ascii="黑体" w:hAnsi="宋体" w:eastAsia="黑体" w:cs="宋体"/>
                <w:kern w:val="0"/>
                <w:sz w:val="24"/>
              </w:rPr>
            </w:pPr>
            <w:r>
              <w:rPr>
                <w:rFonts w:hint="eastAsia" w:ascii="黑体" w:hAnsi="宋体" w:eastAsia="黑体" w:cs="宋体"/>
                <w:kern w:val="0"/>
                <w:sz w:val="24"/>
              </w:rPr>
              <w:t>大学精神引领文化生活丰富</w:t>
            </w: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r>
              <w:rPr>
                <w:rFonts w:hint="eastAsia" w:ascii="黑体" w:hAnsi="宋体" w:eastAsia="黑体" w:cs="宋体"/>
                <w:kern w:val="0"/>
                <w:sz w:val="24"/>
              </w:rPr>
              <w:t>（10分）</w:t>
            </w:r>
          </w:p>
          <w:p>
            <w:pPr>
              <w:widowControl/>
              <w:jc w:val="center"/>
              <w:rPr>
                <w:rFonts w:hint="eastAsia" w:ascii="黑体" w:hAnsi="宋体" w:eastAsia="黑体" w:cs="宋体"/>
                <w:kern w:val="0"/>
                <w:sz w:val="24"/>
              </w:rPr>
            </w:pPr>
          </w:p>
        </w:tc>
        <w:tc>
          <w:tcPr>
            <w:tcW w:w="1781" w:type="dxa"/>
            <w:vMerge w:val="restart"/>
            <w:noWrap w:val="0"/>
            <w:tcMar>
              <w:left w:w="28" w:type="dxa"/>
              <w:right w:w="28" w:type="dxa"/>
            </w:tcMar>
            <w:vAlign w:val="center"/>
          </w:tcPr>
          <w:p>
            <w:pPr>
              <w:widowControl/>
              <w:rPr>
                <w:rFonts w:hint="eastAsia" w:ascii="仿宋_GB2312" w:hAnsi="宋体" w:eastAsia="仿宋_GB2312" w:cs="宋体"/>
                <w:kern w:val="0"/>
                <w:sz w:val="24"/>
              </w:rPr>
            </w:pP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4-16</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文化育人</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（8分）</w:t>
            </w: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lang w:val="zh-CN"/>
              </w:rPr>
              <w:t>加强对学校新章程、“一训三风”等精神内涵的宣传</w:t>
            </w:r>
            <w:r>
              <w:rPr>
                <w:rFonts w:hint="eastAsia" w:ascii="楷体_GB2312" w:hAnsi="宋体" w:eastAsia="楷体_GB2312" w:cs="宋体"/>
                <w:kern w:val="0"/>
                <w:sz w:val="24"/>
              </w:rPr>
              <w:t>教育</w:t>
            </w:r>
            <w:r>
              <w:rPr>
                <w:rFonts w:hint="eastAsia" w:ascii="楷体_GB2312" w:hAnsi="宋体" w:eastAsia="楷体_GB2312" w:cs="宋体"/>
                <w:kern w:val="0"/>
                <w:sz w:val="24"/>
                <w:lang w:val="zh-CN"/>
              </w:rPr>
              <w:t>。</w:t>
            </w:r>
            <w:r>
              <w:rPr>
                <w:rFonts w:hint="eastAsia" w:ascii="楷体_GB2312" w:hAnsi="宋体" w:eastAsia="楷体_GB2312" w:cs="宋体"/>
                <w:kern w:val="0"/>
                <w:sz w:val="24"/>
              </w:rPr>
              <w:t>（1分）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文明督导组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积极组织参加经典阅读、高雅艺术进校园、体育大联赛、文化艺术节等校园文化品牌活动。</w:t>
            </w:r>
            <w:r>
              <w:rPr>
                <w:rFonts w:hint="eastAsia" w:ascii="楷体_GB2312" w:hAnsi="宋体" w:eastAsia="楷体_GB2312" w:cs="宋体"/>
                <w:kern w:val="0"/>
                <w:sz w:val="24"/>
                <w:lang w:val="zh-CN"/>
              </w:rPr>
              <w:t>开展中华优秀传统文化、革命文化和社会主义先进文化教育活动。</w:t>
            </w:r>
            <w:r>
              <w:rPr>
                <w:rFonts w:hint="eastAsia" w:ascii="楷体_GB2312" w:hAnsi="宋体" w:eastAsia="楷体_GB2312" w:cs="宋体"/>
                <w:kern w:val="0"/>
                <w:sz w:val="24"/>
              </w:rPr>
              <w:t>加强法治教育。（3分）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党委宣传部</w:t>
            </w:r>
          </w:p>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团委</w:t>
            </w:r>
          </w:p>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体育教学部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学生社团和教职工活动丰富，管理规范，有经费保障。（2分）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工会、团委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开展网络文化建设，鼓励制作原创性网络文化作品，有效推进易班建设。在宣传方面取得突出成果。（2分）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党委宣传部</w:t>
            </w:r>
          </w:p>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restart"/>
            <w:noWrap w:val="0"/>
            <w:tcMar>
              <w:left w:w="28" w:type="dxa"/>
              <w:right w:w="28" w:type="dxa"/>
            </w:tcMar>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4-17</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文化环境</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（2分）</w:t>
            </w: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发挥学院网站、新媒体平台、公告栏、电子显示屏等宣传平台宣传渠道教育功能，定期更新内容。（1分）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hint="eastAsia"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建设学院</w:t>
            </w:r>
            <w:r>
              <w:rPr>
                <w:rFonts w:hint="eastAsia" w:ascii="宋体" w:hAnsi="宋体" w:cs="宋体"/>
                <w:kern w:val="0"/>
                <w:sz w:val="24"/>
              </w:rPr>
              <w:t>文化空间</w:t>
            </w:r>
            <w:r>
              <w:rPr>
                <w:rFonts w:hint="eastAsia" w:ascii="楷体_GB2312" w:hAnsi="宋体" w:eastAsia="楷体_GB2312" w:cs="宋体"/>
                <w:kern w:val="0"/>
                <w:sz w:val="24"/>
              </w:rPr>
              <w:t>，并对学生开展</w:t>
            </w:r>
            <w:r>
              <w:rPr>
                <w:rFonts w:hint="eastAsia" w:ascii="宋体" w:hAnsi="宋体" w:cs="宋体"/>
                <w:kern w:val="0"/>
                <w:sz w:val="24"/>
              </w:rPr>
              <w:t>特色学科等</w:t>
            </w:r>
            <w:r>
              <w:rPr>
                <w:rFonts w:hint="eastAsia" w:ascii="楷体_GB2312" w:hAnsi="宋体" w:eastAsia="楷体_GB2312" w:cs="宋体"/>
                <w:kern w:val="0"/>
                <w:sz w:val="24"/>
              </w:rPr>
              <w:t>学院传统教育。（1分）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文明督导组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1" w:type="dxa"/>
            <w:vMerge w:val="restart"/>
            <w:noWrap w:val="0"/>
            <w:tcMar>
              <w:left w:w="28" w:type="dxa"/>
              <w:right w:w="28" w:type="dxa"/>
            </w:tcMar>
            <w:vAlign w:val="center"/>
          </w:tcPr>
          <w:p>
            <w:pPr>
              <w:widowControl/>
              <w:jc w:val="center"/>
              <w:rPr>
                <w:rFonts w:hint="eastAsia" w:ascii="黑体" w:hAnsi="宋体" w:eastAsia="黑体" w:cs="宋体"/>
                <w:kern w:val="0"/>
                <w:sz w:val="24"/>
              </w:rPr>
            </w:pPr>
            <w:r>
              <w:rPr>
                <w:rFonts w:hint="eastAsia" w:ascii="黑体" w:hAnsi="宋体" w:eastAsia="黑体" w:cs="宋体"/>
                <w:kern w:val="0"/>
                <w:sz w:val="24"/>
              </w:rPr>
              <w:t xml:space="preserve">5 </w:t>
            </w:r>
          </w:p>
          <w:p>
            <w:pPr>
              <w:widowControl/>
              <w:jc w:val="center"/>
              <w:rPr>
                <w:rFonts w:hint="eastAsia" w:ascii="黑体" w:hAnsi="宋体" w:eastAsia="黑体" w:cs="宋体"/>
                <w:kern w:val="0"/>
                <w:sz w:val="24"/>
              </w:rPr>
            </w:pPr>
            <w:r>
              <w:rPr>
                <w:rFonts w:hint="eastAsia" w:ascii="黑体" w:hAnsi="宋体" w:eastAsia="黑体" w:cs="宋体"/>
                <w:kern w:val="0"/>
                <w:sz w:val="24"/>
              </w:rPr>
              <w:t>平安健康达标校园环境优化</w:t>
            </w:r>
          </w:p>
          <w:p>
            <w:pPr>
              <w:widowControl/>
              <w:jc w:val="center"/>
              <w:rPr>
                <w:rFonts w:hint="eastAsia" w:ascii="黑体" w:hAnsi="宋体" w:eastAsia="黑体" w:cs="宋体"/>
                <w:kern w:val="0"/>
                <w:sz w:val="24"/>
              </w:rPr>
            </w:pPr>
            <w:r>
              <w:rPr>
                <w:rFonts w:hint="eastAsia" w:ascii="黑体" w:hAnsi="宋体" w:eastAsia="黑体" w:cs="宋体"/>
                <w:kern w:val="0"/>
                <w:sz w:val="24"/>
              </w:rPr>
              <w:t>（8分）</w:t>
            </w:r>
          </w:p>
          <w:p>
            <w:pPr>
              <w:widowControl/>
              <w:jc w:val="center"/>
              <w:rPr>
                <w:rFonts w:hint="eastAsia" w:ascii="黑体" w:hAnsi="宋体" w:eastAsia="黑体" w:cs="宋体"/>
                <w:kern w:val="0"/>
                <w:sz w:val="24"/>
              </w:rPr>
            </w:pPr>
          </w:p>
          <w:p>
            <w:pPr>
              <w:widowControl/>
              <w:jc w:val="center"/>
              <w:rPr>
                <w:rFonts w:hint="eastAsia" w:ascii="黑体" w:hAnsi="宋体" w:eastAsia="黑体" w:cs="宋体"/>
                <w:kern w:val="0"/>
                <w:sz w:val="24"/>
              </w:rPr>
            </w:pPr>
          </w:p>
        </w:tc>
        <w:tc>
          <w:tcPr>
            <w:tcW w:w="1781" w:type="dxa"/>
            <w:vMerge w:val="restart"/>
            <w:noWrap w:val="0"/>
            <w:tcMar>
              <w:left w:w="28" w:type="dxa"/>
              <w:right w:w="28" w:type="dxa"/>
            </w:tcMar>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5-18</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健康校园</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（2分）</w:t>
            </w: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积极落实每天运动一小时，学生体质水平达标。（1分）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体教部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落实健康教育课（活动）及预防艾滋病等教育。无烟学院达标。（1分）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医疗健康服务中心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restart"/>
            <w:noWrap w:val="0"/>
            <w:tcMar>
              <w:left w:w="28" w:type="dxa"/>
              <w:right w:w="28" w:type="dxa"/>
            </w:tcMar>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5-19</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平安校园</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（4分）</w:t>
            </w: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签订安全责任书，建立健全安全、稳定、值守、保密、紧急信息报送等工作制度。建立和完善学院突发事件工作预案及处置规程。（2分）</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定期开展重点场所的防火、防盗等安全检查。人防、物防、技防联动。（1分）</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开展大学生安全教育进课堂，定期组织逃生等防灾演练。（1分）</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restart"/>
            <w:noWrap w:val="0"/>
            <w:tcMar>
              <w:left w:w="28" w:type="dxa"/>
              <w:right w:w="28" w:type="dxa"/>
            </w:tcMar>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5-20</w:t>
            </w:r>
          </w:p>
          <w:p>
            <w:pPr>
              <w:jc w:val="center"/>
              <w:rPr>
                <w:rFonts w:hint="eastAsia" w:ascii="仿宋_GB2312" w:hAnsi="宋体" w:eastAsia="仿宋_GB2312" w:cs="宋体"/>
                <w:kern w:val="0"/>
                <w:sz w:val="24"/>
              </w:rPr>
            </w:pPr>
            <w:r>
              <w:rPr>
                <w:rFonts w:hint="eastAsia" w:ascii="仿宋_GB2312" w:hAnsi="宋体" w:eastAsia="仿宋_GB2312" w:cs="宋体"/>
                <w:kern w:val="0"/>
                <w:sz w:val="24"/>
              </w:rPr>
              <w:t>生态校园</w:t>
            </w:r>
          </w:p>
          <w:p>
            <w:pPr>
              <w:jc w:val="center"/>
              <w:rPr>
                <w:rFonts w:hint="eastAsia" w:ascii="仿宋_GB2312" w:hAnsi="宋体" w:eastAsia="仿宋_GB2312" w:cs="宋体"/>
                <w:kern w:val="0"/>
                <w:sz w:val="24"/>
              </w:rPr>
            </w:pPr>
            <w:r>
              <w:rPr>
                <w:rFonts w:hint="eastAsia" w:ascii="仿宋_GB2312" w:hAnsi="宋体" w:eastAsia="仿宋_GB2312" w:cs="宋体"/>
                <w:kern w:val="0"/>
                <w:sz w:val="24"/>
              </w:rPr>
              <w:t>（2分）</w:t>
            </w:r>
          </w:p>
        </w:tc>
        <w:tc>
          <w:tcPr>
            <w:tcW w:w="9813" w:type="dxa"/>
            <w:noWrap w:val="0"/>
            <w:tcMar>
              <w:left w:w="28" w:type="dxa"/>
              <w:right w:w="28" w:type="dxa"/>
            </w:tcMar>
            <w:vAlign w:val="center"/>
          </w:tcPr>
          <w:p>
            <w:pPr>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 xml:space="preserve">单位内外环境整洁，办公、生活场所文化氛围浓郁。 (1分) </w:t>
            </w:r>
          </w:p>
        </w:tc>
        <w:tc>
          <w:tcPr>
            <w:tcW w:w="1736" w:type="dxa"/>
            <w:noWrap w:val="0"/>
            <w:tcMar>
              <w:left w:w="85" w:type="dxa"/>
              <w:right w:w="57" w:type="dxa"/>
            </w:tcMar>
            <w:vAlign w:val="center"/>
          </w:tcPr>
          <w:p>
            <w:pPr>
              <w:jc w:val="center"/>
              <w:rPr>
                <w:rFonts w:ascii="楷体_GB2312" w:hAnsi="宋体" w:eastAsia="楷体_GB2312" w:cs="宋体"/>
                <w:kern w:val="0"/>
                <w:sz w:val="24"/>
              </w:rPr>
            </w:pPr>
            <w:r>
              <w:rPr>
                <w:rFonts w:hint="eastAsia" w:ascii="楷体_GB2312" w:hAnsi="宋体" w:eastAsia="楷体_GB2312" w:cs="宋体"/>
                <w:kern w:val="0"/>
                <w:sz w:val="24"/>
              </w:rPr>
              <w:t>文明督导组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611" w:type="dxa"/>
            <w:vMerge w:val="continue"/>
            <w:noWrap w:val="0"/>
            <w:tcMar>
              <w:left w:w="28" w:type="dxa"/>
              <w:right w:w="28" w:type="dxa"/>
            </w:tcMar>
            <w:vAlign w:val="center"/>
          </w:tcPr>
          <w:p>
            <w:pPr>
              <w:widowControl/>
              <w:jc w:val="center"/>
              <w:rPr>
                <w:rFonts w:hint="eastAsia" w:ascii="黑体" w:hAnsi="宋体" w:eastAsia="黑体" w:cs="宋体"/>
                <w:kern w:val="0"/>
                <w:sz w:val="24"/>
              </w:rPr>
            </w:pPr>
          </w:p>
        </w:tc>
        <w:tc>
          <w:tcPr>
            <w:tcW w:w="1781" w:type="dxa"/>
            <w:vMerge w:val="continue"/>
            <w:noWrap w:val="0"/>
            <w:tcMar>
              <w:left w:w="28" w:type="dxa"/>
              <w:right w:w="28" w:type="dxa"/>
            </w:tcMar>
            <w:vAlign w:val="center"/>
          </w:tcPr>
          <w:p>
            <w:pPr>
              <w:widowControl/>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推进垃圾科学分类减量处置，推进爱粮节粮相关工作。落实绿色学校（节水节电）创建要求，形成创建特色。（1分）</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11" w:type="dxa"/>
            <w:vMerge w:val="restart"/>
            <w:noWrap w:val="0"/>
            <w:tcMar>
              <w:left w:w="28" w:type="dxa"/>
              <w:right w:w="28" w:type="dxa"/>
            </w:tcMar>
            <w:vAlign w:val="center"/>
          </w:tcPr>
          <w:p>
            <w:pPr>
              <w:widowControl/>
              <w:jc w:val="center"/>
              <w:rPr>
                <w:rFonts w:hint="eastAsia" w:ascii="黑体" w:hAnsi="宋体" w:eastAsia="黑体" w:cs="宋体"/>
                <w:kern w:val="0"/>
                <w:sz w:val="24"/>
              </w:rPr>
            </w:pPr>
            <w:r>
              <w:rPr>
                <w:rFonts w:hint="eastAsia" w:ascii="黑体" w:hAnsi="宋体" w:eastAsia="黑体" w:cs="宋体"/>
                <w:kern w:val="0"/>
                <w:sz w:val="24"/>
              </w:rPr>
              <w:t>6</w:t>
            </w:r>
          </w:p>
          <w:p>
            <w:pPr>
              <w:widowControl/>
              <w:jc w:val="center"/>
              <w:rPr>
                <w:rFonts w:hint="eastAsia" w:ascii="黑体" w:hAnsi="宋体" w:eastAsia="黑体" w:cs="宋体"/>
                <w:kern w:val="0"/>
                <w:sz w:val="24"/>
              </w:rPr>
            </w:pPr>
            <w:r>
              <w:rPr>
                <w:rFonts w:hint="eastAsia" w:ascii="黑体" w:hAnsi="宋体" w:eastAsia="黑体" w:cs="宋体"/>
                <w:kern w:val="0"/>
                <w:sz w:val="24"/>
              </w:rPr>
              <w:t>社会责任担当</w:t>
            </w:r>
          </w:p>
          <w:p>
            <w:pPr>
              <w:jc w:val="center"/>
              <w:rPr>
                <w:rFonts w:hint="eastAsia" w:ascii="黑体" w:hAnsi="宋体" w:eastAsia="黑体" w:cs="宋体"/>
                <w:kern w:val="0"/>
                <w:sz w:val="24"/>
              </w:rPr>
            </w:pPr>
            <w:r>
              <w:rPr>
                <w:rFonts w:hint="eastAsia" w:ascii="黑体" w:hAnsi="宋体" w:eastAsia="黑体" w:cs="宋体"/>
                <w:kern w:val="0"/>
                <w:sz w:val="24"/>
              </w:rPr>
              <w:t>学院形象良好</w:t>
            </w:r>
          </w:p>
          <w:p>
            <w:pPr>
              <w:jc w:val="center"/>
              <w:rPr>
                <w:rFonts w:hint="eastAsia" w:ascii="黑体" w:hAnsi="宋体" w:eastAsia="黑体" w:cs="宋体"/>
                <w:kern w:val="0"/>
                <w:sz w:val="24"/>
              </w:rPr>
            </w:pPr>
            <w:r>
              <w:rPr>
                <w:rFonts w:hint="eastAsia" w:ascii="黑体" w:hAnsi="宋体" w:eastAsia="黑体" w:cs="宋体"/>
                <w:kern w:val="0"/>
                <w:sz w:val="24"/>
              </w:rPr>
              <w:t>（9分）</w:t>
            </w:r>
          </w:p>
        </w:tc>
        <w:tc>
          <w:tcPr>
            <w:tcW w:w="1781" w:type="dxa"/>
            <w:noWrap w:val="0"/>
            <w:tcMar>
              <w:left w:w="28" w:type="dxa"/>
              <w:right w:w="28" w:type="dxa"/>
            </w:tcMar>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6-21</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志愿服务</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（4分）</w:t>
            </w: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宋体" w:hAnsi="宋体" w:cs="宋体"/>
                <w:kern w:val="0"/>
                <w:sz w:val="24"/>
              </w:rPr>
              <w:t>积极宣传志愿者精神</w:t>
            </w:r>
            <w:r>
              <w:rPr>
                <w:rFonts w:hint="eastAsia" w:ascii="___WRD_EMBED_SUB_42" w:hAnsi="___WRD_EMBED_SUB_42" w:eastAsia="___WRD_EMBED_SUB_42" w:cs="___WRD_EMBED_SUB_42"/>
                <w:kern w:val="0"/>
                <w:sz w:val="24"/>
              </w:rPr>
              <w:t>，</w:t>
            </w:r>
            <w:r>
              <w:rPr>
                <w:rFonts w:hint="eastAsia" w:ascii="宋体" w:hAnsi="宋体" w:cs="宋体"/>
                <w:kern w:val="0"/>
                <w:sz w:val="24"/>
              </w:rPr>
              <w:t>学雷锋等志愿服务活动常态化。</w:t>
            </w:r>
            <w:r>
              <w:rPr>
                <w:rFonts w:hint="eastAsia" w:ascii="___WRD_EMBED_SUB_42" w:hAnsi="___WRD_EMBED_SUB_42" w:eastAsia="___WRD_EMBED_SUB_42" w:cs="___WRD_EMBED_SUB_42"/>
                <w:kern w:val="0"/>
                <w:sz w:val="24"/>
              </w:rPr>
              <w:t>建</w:t>
            </w:r>
            <w:r>
              <w:rPr>
                <w:rFonts w:hint="eastAsia" w:ascii="宋体" w:hAnsi="宋体" w:cs="宋体"/>
                <w:kern w:val="0"/>
                <w:sz w:val="24"/>
              </w:rPr>
              <w:t>立志愿者服务基地</w:t>
            </w:r>
            <w:r>
              <w:rPr>
                <w:rFonts w:hint="eastAsia" w:ascii="___WRD_EMBED_SUB_42" w:hAnsi="___WRD_EMBED_SUB_42" w:eastAsia="___WRD_EMBED_SUB_42" w:cs="___WRD_EMBED_SUB_42"/>
                <w:kern w:val="0"/>
                <w:sz w:val="24"/>
              </w:rPr>
              <w:t>，</w:t>
            </w:r>
            <w:r>
              <w:rPr>
                <w:rFonts w:hint="eastAsia" w:ascii="宋体" w:hAnsi="宋体" w:cs="宋体"/>
                <w:kern w:val="0"/>
                <w:sz w:val="24"/>
              </w:rPr>
              <w:t>培育志愿服务品牌</w:t>
            </w:r>
            <w:r>
              <w:rPr>
                <w:rFonts w:hint="eastAsia" w:ascii="___WRD_EMBED_SUB_42" w:hAnsi="___WRD_EMBED_SUB_42" w:eastAsia="___WRD_EMBED_SUB_42" w:cs="___WRD_EMBED_SUB_42"/>
                <w:kern w:val="0"/>
                <w:sz w:val="24"/>
              </w:rPr>
              <w:t>，</w:t>
            </w:r>
            <w:r>
              <w:rPr>
                <w:rFonts w:hint="eastAsia" w:ascii="宋体" w:hAnsi="宋体" w:cs="宋体"/>
                <w:kern w:val="0"/>
                <w:sz w:val="24"/>
              </w:rPr>
              <w:t>师生员</w:t>
            </w:r>
            <w:r>
              <w:rPr>
                <w:rFonts w:hint="eastAsia" w:ascii="___WRD_EMBED_SUB_42" w:hAnsi="___WRD_EMBED_SUB_42" w:eastAsia="___WRD_EMBED_SUB_42" w:cs="___WRD_EMBED_SUB_42"/>
                <w:kern w:val="0"/>
                <w:sz w:val="24"/>
              </w:rPr>
              <w:t>工</w:t>
            </w:r>
            <w:r>
              <w:rPr>
                <w:rFonts w:hint="eastAsia" w:ascii="宋体" w:hAnsi="宋体" w:cs="宋体"/>
                <w:kern w:val="0"/>
                <w:sz w:val="24"/>
              </w:rPr>
              <w:t>志愿服务参与率</w:t>
            </w:r>
            <w:r>
              <w:rPr>
                <w:rFonts w:hint="eastAsia" w:ascii="楷体_GB2312" w:hAnsi="宋体" w:eastAsia="楷体_GB2312" w:cs="宋体"/>
                <w:kern w:val="0"/>
                <w:sz w:val="24"/>
              </w:rPr>
              <w:t>40%</w:t>
            </w:r>
            <w:r>
              <w:rPr>
                <w:rFonts w:hint="eastAsia" w:ascii="宋体" w:hAnsi="宋体" w:cs="宋体"/>
                <w:kern w:val="0"/>
                <w:sz w:val="24"/>
              </w:rPr>
              <w:t>以</w:t>
            </w:r>
            <w:r>
              <w:rPr>
                <w:rFonts w:hint="eastAsia" w:ascii="___WRD_EMBED_SUB_42" w:hAnsi="___WRD_EMBED_SUB_42" w:eastAsia="___WRD_EMBED_SUB_42" w:cs="___WRD_EMBED_SUB_42"/>
                <w:kern w:val="0"/>
                <w:sz w:val="24"/>
              </w:rPr>
              <w:t>上</w:t>
            </w:r>
            <w:r>
              <w:rPr>
                <w:rFonts w:hint="eastAsia" w:ascii="宋体" w:hAnsi="宋体" w:cs="宋体"/>
                <w:kern w:val="0"/>
                <w:sz w:val="24"/>
              </w:rPr>
              <w:t>。</w:t>
            </w:r>
            <w:r>
              <w:rPr>
                <w:rFonts w:hint="eastAsia" w:ascii="___WRD_EMBED_SUB_42" w:hAnsi="___WRD_EMBED_SUB_42" w:eastAsia="___WRD_EMBED_SUB_42" w:cs="___WRD_EMBED_SUB_42"/>
                <w:kern w:val="0"/>
                <w:sz w:val="24"/>
              </w:rPr>
              <w:t>（</w:t>
            </w:r>
            <w:r>
              <w:rPr>
                <w:rFonts w:hint="eastAsia" w:ascii="楷体_GB2312" w:hAnsi="宋体" w:eastAsia="楷体_GB2312" w:cs="宋体"/>
                <w:kern w:val="0"/>
                <w:sz w:val="24"/>
              </w:rPr>
              <w:t>4</w:t>
            </w:r>
            <w:r>
              <w:rPr>
                <w:rFonts w:hint="eastAsia" w:ascii="宋体" w:hAnsi="宋体" w:cs="宋体"/>
                <w:kern w:val="0"/>
                <w:sz w:val="24"/>
              </w:rPr>
              <w:t>分</w:t>
            </w:r>
            <w:r>
              <w:rPr>
                <w:rFonts w:hint="eastAsia" w:ascii="___WRD_EMBED_SUB_42" w:hAnsi="___WRD_EMBED_SUB_42" w:eastAsia="___WRD_EMBED_SUB_42" w:cs="___WRD_EMBED_SUB_42"/>
                <w:kern w:val="0"/>
                <w:sz w:val="24"/>
              </w:rPr>
              <w:t>）</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11" w:type="dxa"/>
            <w:vMerge w:val="continue"/>
            <w:noWrap w:val="0"/>
            <w:tcMar>
              <w:left w:w="28" w:type="dxa"/>
              <w:right w:w="28" w:type="dxa"/>
            </w:tcMar>
            <w:vAlign w:val="center"/>
          </w:tcPr>
          <w:p>
            <w:pPr>
              <w:jc w:val="center"/>
              <w:rPr>
                <w:rFonts w:ascii="仿宋_GB2312" w:hAnsi="宋体" w:eastAsia="仿宋_GB2312" w:cs="宋体"/>
                <w:kern w:val="0"/>
                <w:sz w:val="24"/>
              </w:rPr>
            </w:pPr>
          </w:p>
        </w:tc>
        <w:tc>
          <w:tcPr>
            <w:tcW w:w="1781" w:type="dxa"/>
            <w:vMerge w:val="restart"/>
            <w:noWrap w:val="0"/>
            <w:tcMar>
              <w:left w:w="28" w:type="dxa"/>
              <w:right w:w="28" w:type="dxa"/>
            </w:tcMar>
            <w:vAlign w:val="center"/>
          </w:tcPr>
          <w:p>
            <w:pPr>
              <w:jc w:val="center"/>
              <w:rPr>
                <w:rFonts w:hint="eastAsia" w:ascii="仿宋_GB2312" w:hAnsi="宋体" w:eastAsia="仿宋_GB2312" w:cs="宋体"/>
                <w:kern w:val="0"/>
                <w:sz w:val="24"/>
              </w:rPr>
            </w:pPr>
            <w:r>
              <w:rPr>
                <w:rFonts w:hint="eastAsia" w:ascii="仿宋_GB2312" w:hAnsi="宋体" w:eastAsia="仿宋_GB2312" w:cs="宋体"/>
                <w:kern w:val="0"/>
                <w:sz w:val="24"/>
              </w:rPr>
              <w:t>6-22</w:t>
            </w:r>
          </w:p>
          <w:p>
            <w:pPr>
              <w:jc w:val="center"/>
              <w:rPr>
                <w:rFonts w:hint="eastAsia" w:ascii="仿宋_GB2312" w:hAnsi="宋体" w:eastAsia="仿宋_GB2312" w:cs="宋体"/>
                <w:kern w:val="0"/>
                <w:sz w:val="24"/>
              </w:rPr>
            </w:pPr>
            <w:r>
              <w:rPr>
                <w:rFonts w:hint="eastAsia" w:ascii="仿宋_GB2312" w:hAnsi="宋体" w:eastAsia="仿宋_GB2312" w:cs="宋体"/>
                <w:kern w:val="0"/>
                <w:sz w:val="24"/>
              </w:rPr>
              <w:t>共建共享</w:t>
            </w:r>
          </w:p>
          <w:p>
            <w:pPr>
              <w:jc w:val="center"/>
              <w:rPr>
                <w:rFonts w:ascii="仿宋_GB2312" w:hAnsi="宋体" w:eastAsia="仿宋_GB2312" w:cs="宋体"/>
                <w:kern w:val="0"/>
                <w:sz w:val="24"/>
              </w:rPr>
            </w:pPr>
            <w:r>
              <w:rPr>
                <w:rFonts w:hint="eastAsia" w:ascii="仿宋_GB2312" w:hAnsi="宋体" w:eastAsia="仿宋_GB2312" w:cs="宋体"/>
                <w:kern w:val="0"/>
                <w:sz w:val="24"/>
              </w:rPr>
              <w:t>（5分）</w:t>
            </w: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发挥学院学科优势、开放科研、文化等资源，积极参与学习型社会和社区文明创建等活动。（2分）</w:t>
            </w:r>
          </w:p>
        </w:tc>
        <w:tc>
          <w:tcPr>
            <w:tcW w:w="1736" w:type="dxa"/>
            <w:noWrap w:val="0"/>
            <w:tcMar>
              <w:left w:w="85" w:type="dxa"/>
              <w:right w:w="57" w:type="dxa"/>
            </w:tcMar>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11" w:type="dxa"/>
            <w:vMerge w:val="continue"/>
            <w:noWrap w:val="0"/>
            <w:tcMar>
              <w:left w:w="28" w:type="dxa"/>
              <w:right w:w="28" w:type="dxa"/>
            </w:tcMar>
            <w:vAlign w:val="center"/>
          </w:tcPr>
          <w:p>
            <w:pPr>
              <w:jc w:val="left"/>
              <w:rPr>
                <w:rFonts w:ascii="仿宋_GB2312" w:hAnsi="宋体" w:eastAsia="仿宋_GB2312" w:cs="宋体"/>
                <w:kern w:val="0"/>
                <w:sz w:val="24"/>
              </w:rPr>
            </w:pPr>
          </w:p>
        </w:tc>
        <w:tc>
          <w:tcPr>
            <w:tcW w:w="1781" w:type="dxa"/>
            <w:vMerge w:val="continue"/>
            <w:noWrap w:val="0"/>
            <w:tcMar>
              <w:left w:w="28" w:type="dxa"/>
              <w:right w:w="28" w:type="dxa"/>
            </w:tcMar>
            <w:vAlign w:val="center"/>
          </w:tcPr>
          <w:p>
            <w:pPr>
              <w:jc w:val="center"/>
              <w:rPr>
                <w:rFonts w:ascii="仿宋_GB2312" w:hAnsi="宋体" w:eastAsia="仿宋_GB2312" w:cs="宋体"/>
                <w:kern w:val="0"/>
                <w:sz w:val="24"/>
              </w:rPr>
            </w:pPr>
          </w:p>
        </w:tc>
        <w:tc>
          <w:tcPr>
            <w:tcW w:w="9813" w:type="dxa"/>
            <w:noWrap w:val="0"/>
            <w:tcMar>
              <w:left w:w="28" w:type="dxa"/>
              <w:right w:w="28" w:type="dxa"/>
            </w:tcMar>
            <w:vAlign w:val="center"/>
          </w:tcPr>
          <w:p>
            <w:pPr>
              <w:widowControl/>
              <w:numPr>
                <w:ilvl w:val="0"/>
                <w:numId w:val="1"/>
              </w:numPr>
              <w:spacing w:line="440" w:lineRule="exact"/>
              <w:jc w:val="left"/>
              <w:rPr>
                <w:rFonts w:hint="eastAsia" w:ascii="楷体_GB2312" w:hAnsi="宋体" w:eastAsia="楷体_GB2312" w:cs="宋体"/>
                <w:kern w:val="0"/>
                <w:sz w:val="24"/>
              </w:rPr>
            </w:pPr>
            <w:r>
              <w:rPr>
                <w:rFonts w:hint="eastAsia" w:ascii="楷体_GB2312" w:hAnsi="宋体" w:eastAsia="楷体_GB2312" w:cs="宋体"/>
                <w:kern w:val="0"/>
                <w:sz w:val="24"/>
              </w:rPr>
              <w:t>落实献血任务，开展拥军优属、双结对、社会捐助等公益活动。有社会影响、受到表彰的好人好事。（3分）</w:t>
            </w:r>
          </w:p>
        </w:tc>
        <w:tc>
          <w:tcPr>
            <w:tcW w:w="1736" w:type="dxa"/>
            <w:noWrap w:val="0"/>
            <w:tcMar>
              <w:left w:w="85" w:type="dxa"/>
              <w:right w:w="57" w:type="dxa"/>
            </w:tcMar>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医疗健康服务中心</w:t>
            </w:r>
          </w:p>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保卫处武装部工会</w:t>
            </w:r>
          </w:p>
          <w:p>
            <w:pPr>
              <w:widowControl/>
              <w:jc w:val="center"/>
              <w:rPr>
                <w:rFonts w:ascii="楷体_GB2312" w:hAnsi="宋体" w:eastAsia="楷体_GB2312" w:cs="宋体"/>
                <w:kern w:val="0"/>
                <w:sz w:val="24"/>
              </w:rPr>
            </w:pPr>
            <w:r>
              <w:rPr>
                <w:rFonts w:hint="eastAsia" w:ascii="楷体_GB2312" w:hAnsi="宋体" w:eastAsia="楷体_GB2312" w:cs="宋体"/>
                <w:kern w:val="0"/>
                <w:sz w:val="24"/>
              </w:rPr>
              <w:t>文明督导组</w:t>
            </w:r>
          </w:p>
        </w:tc>
      </w:tr>
    </w:tbl>
    <w:p>
      <w:pPr>
        <w:jc w:val="center"/>
        <w:rPr>
          <w:rFonts w:hint="eastAsia" w:ascii="黑体" w:hAnsi="黑体" w:eastAsia="黑体" w:cs="宋体"/>
          <w:kern w:val="0"/>
          <w:sz w:val="30"/>
          <w:szCs w:val="30"/>
        </w:rPr>
      </w:pPr>
      <w:r>
        <w:rPr>
          <w:rFonts w:ascii="黑体" w:eastAsia="黑体"/>
          <w:sz w:val="44"/>
          <w:szCs w:val="44"/>
        </w:rPr>
        <w:br w:type="page"/>
      </w:r>
      <w:r>
        <w:rPr>
          <w:rFonts w:hint="eastAsia" w:ascii="黑体" w:hAnsi="黑体" w:eastAsia="黑体" w:cs="宋体"/>
          <w:kern w:val="0"/>
          <w:sz w:val="30"/>
          <w:szCs w:val="30"/>
        </w:rPr>
        <w:t>二、特色指标（共10分）</w:t>
      </w:r>
    </w:p>
    <w:p>
      <w:pPr>
        <w:jc w:val="center"/>
        <w:rPr>
          <w:rFonts w:hint="eastAsia" w:ascii="ˎ̥" w:hAnsi="ˎ̥" w:cs="宋体"/>
          <w:kern w:val="0"/>
          <w:sz w:val="30"/>
          <w:szCs w:val="3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6991"/>
        <w:gridCol w:w="4364"/>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ˎ̥" w:hAnsi="ˎ̥" w:cs="宋体"/>
                <w:kern w:val="0"/>
                <w:sz w:val="18"/>
                <w:szCs w:val="18"/>
              </w:rPr>
            </w:pPr>
            <w:r>
              <w:rPr>
                <w:rFonts w:hint="eastAsia" w:ascii="黑体" w:hAnsi="黑体" w:eastAsia="黑体" w:cs="宋体"/>
                <w:kern w:val="0"/>
                <w:sz w:val="24"/>
              </w:rPr>
              <w:t>序号</w:t>
            </w:r>
          </w:p>
        </w:tc>
        <w:tc>
          <w:tcPr>
            <w:tcW w:w="699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ˎ̥" w:hAnsi="ˎ̥" w:cs="宋体"/>
                <w:kern w:val="0"/>
                <w:sz w:val="18"/>
                <w:szCs w:val="18"/>
              </w:rPr>
            </w:pPr>
            <w:r>
              <w:rPr>
                <w:rFonts w:hint="eastAsia" w:ascii="黑体" w:hAnsi="黑体" w:eastAsia="黑体" w:cs="宋体"/>
                <w:kern w:val="0"/>
                <w:sz w:val="24"/>
              </w:rPr>
              <w:t>指标名称</w:t>
            </w:r>
          </w:p>
        </w:tc>
        <w:tc>
          <w:tcPr>
            <w:tcW w:w="436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ˎ̥" w:hAnsi="ˎ̥" w:cs="宋体"/>
                <w:kern w:val="0"/>
                <w:sz w:val="18"/>
                <w:szCs w:val="18"/>
              </w:rPr>
            </w:pPr>
            <w:r>
              <w:rPr>
                <w:rFonts w:hint="eastAsia" w:ascii="黑体" w:hAnsi="黑体" w:eastAsia="黑体" w:cs="宋体"/>
                <w:kern w:val="0"/>
                <w:sz w:val="24"/>
              </w:rPr>
              <w:t>考评依据</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ˎ̥" w:hAnsi="ˎ̥" w:cs="宋体"/>
                <w:kern w:val="0"/>
                <w:sz w:val="18"/>
                <w:szCs w:val="18"/>
              </w:rPr>
            </w:pPr>
            <w:r>
              <w:rPr>
                <w:rFonts w:hint="eastAsia" w:ascii="黑体" w:hAnsi="黑体" w:eastAsia="黑体" w:cs="宋体"/>
                <w:kern w:val="0"/>
                <w:sz w:val="24"/>
              </w:rPr>
              <w:t>评价部门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ˎ̥" w:hAnsi="ˎ̥" w:cs="宋体"/>
                <w:kern w:val="0"/>
                <w:sz w:val="18"/>
                <w:szCs w:val="18"/>
              </w:rPr>
            </w:pPr>
            <w:r>
              <w:rPr>
                <w:rFonts w:hint="eastAsia" w:ascii="宋体" w:hAnsi="宋体" w:cs="宋体"/>
                <w:kern w:val="0"/>
                <w:sz w:val="24"/>
              </w:rPr>
              <w:t>1</w:t>
            </w:r>
          </w:p>
        </w:tc>
        <w:tc>
          <w:tcPr>
            <w:tcW w:w="699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left"/>
              <w:rPr>
                <w:rFonts w:hint="eastAsia" w:ascii="楷体_GB2312" w:hAnsi="ˎ̥" w:eastAsia="楷体_GB2312" w:cs="宋体"/>
                <w:kern w:val="0"/>
                <w:sz w:val="18"/>
                <w:szCs w:val="18"/>
              </w:rPr>
            </w:pPr>
            <w:r>
              <w:rPr>
                <w:rFonts w:hint="eastAsia" w:ascii="楷体_GB2312" w:hAnsi="宋体" w:eastAsia="楷体_GB2312" w:cs="宋体"/>
                <w:kern w:val="0"/>
                <w:sz w:val="24"/>
              </w:rPr>
              <w:t>文明创建基础材料丰富、完整、有依据、提交及时。（5分）</w:t>
            </w:r>
          </w:p>
        </w:tc>
        <w:tc>
          <w:tcPr>
            <w:tcW w:w="436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楷体_GB2312" w:hAnsi="宋体" w:eastAsia="楷体_GB2312" w:cs="宋体"/>
                <w:kern w:val="0"/>
                <w:sz w:val="24"/>
              </w:rPr>
            </w:pPr>
            <w:r>
              <w:rPr>
                <w:rFonts w:hint="eastAsia" w:ascii="楷体_GB2312" w:hAnsi="宋体" w:eastAsia="楷体_GB2312" w:cs="宋体"/>
                <w:kern w:val="0"/>
                <w:sz w:val="24"/>
              </w:rPr>
              <w:t>材料审核</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楷体_GB2312" w:hAnsi="宋体" w:eastAsia="楷体_GB2312" w:cs="宋体"/>
                <w:kern w:val="0"/>
                <w:sz w:val="24"/>
              </w:rPr>
            </w:pPr>
            <w:r>
              <w:rPr>
                <w:rFonts w:hint="eastAsia" w:ascii="楷体_GB2312" w:hAnsi="宋体" w:eastAsia="楷体_GB2312" w:cs="宋体"/>
                <w:kern w:val="0"/>
                <w:sz w:val="24"/>
              </w:rPr>
              <w:t>学院互评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宋体" w:hAnsi="宋体" w:cs="宋体"/>
                <w:kern w:val="0"/>
                <w:sz w:val="24"/>
              </w:rPr>
            </w:pPr>
            <w:r>
              <w:rPr>
                <w:rFonts w:hint="eastAsia" w:ascii="宋体" w:hAnsi="宋体" w:cs="宋体"/>
                <w:kern w:val="0"/>
                <w:sz w:val="24"/>
              </w:rPr>
              <w:t>2</w:t>
            </w:r>
          </w:p>
        </w:tc>
        <w:tc>
          <w:tcPr>
            <w:tcW w:w="699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left"/>
              <w:rPr>
                <w:rFonts w:hint="eastAsia" w:ascii="楷体_GB2312" w:hAnsi="宋体" w:eastAsia="楷体_GB2312" w:cs="宋体"/>
                <w:kern w:val="0"/>
                <w:sz w:val="24"/>
              </w:rPr>
            </w:pPr>
            <w:r>
              <w:rPr>
                <w:rFonts w:hint="eastAsia" w:ascii="楷体_GB2312" w:hAnsi="宋体" w:eastAsia="楷体_GB2312" w:cs="宋体"/>
                <w:kern w:val="0"/>
                <w:sz w:val="24"/>
              </w:rPr>
              <w:t>文明创建工作有特色并取得标志性成果。（5分）</w:t>
            </w:r>
          </w:p>
        </w:tc>
        <w:tc>
          <w:tcPr>
            <w:tcW w:w="436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楷体_GB2312" w:hAnsi="宋体" w:eastAsia="楷体_GB2312" w:cs="宋体"/>
                <w:kern w:val="0"/>
                <w:sz w:val="24"/>
              </w:rPr>
            </w:pPr>
            <w:r>
              <w:rPr>
                <w:rFonts w:hint="eastAsia" w:ascii="楷体_GB2312" w:hAnsi="宋体" w:eastAsia="楷体_GB2312" w:cs="宋体"/>
                <w:kern w:val="0"/>
                <w:sz w:val="24"/>
              </w:rPr>
              <w:t>听取汇报、材料审核</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楷体_GB2312" w:hAnsi="宋体" w:eastAsia="楷体_GB2312" w:cs="宋体"/>
                <w:kern w:val="0"/>
                <w:sz w:val="24"/>
              </w:rPr>
            </w:pPr>
            <w:r>
              <w:rPr>
                <w:rFonts w:hint="eastAsia" w:ascii="楷体_GB2312" w:hAnsi="宋体" w:eastAsia="楷体_GB2312" w:cs="宋体"/>
                <w:kern w:val="0"/>
                <w:sz w:val="24"/>
              </w:rPr>
              <w:t>校级文明单位评选领导小组</w:t>
            </w:r>
          </w:p>
        </w:tc>
      </w:tr>
    </w:tbl>
    <w:p>
      <w:pPr>
        <w:rPr>
          <w:rFonts w:hint="eastAsia"/>
        </w:rPr>
      </w:pPr>
    </w:p>
    <w:p>
      <w:pPr>
        <w:rPr>
          <w:rFonts w:hint="eastAsia"/>
        </w:rPr>
      </w:pPr>
    </w:p>
    <w:p>
      <w:pPr>
        <w:rPr>
          <w:rFonts w:hint="eastAsia"/>
        </w:rPr>
      </w:pPr>
    </w:p>
    <w:p>
      <w:pPr>
        <w:jc w:val="center"/>
        <w:rPr>
          <w:rFonts w:hint="eastAsia" w:ascii="黑体" w:hAnsi="黑体" w:eastAsia="黑体" w:cs="宋体"/>
          <w:kern w:val="0"/>
          <w:sz w:val="30"/>
          <w:szCs w:val="30"/>
        </w:rPr>
      </w:pPr>
      <w:r>
        <w:rPr>
          <w:rFonts w:hint="eastAsia" w:ascii="黑体" w:hAnsi="黑体" w:eastAsia="黑体" w:cs="宋体"/>
          <w:kern w:val="0"/>
          <w:sz w:val="30"/>
          <w:szCs w:val="30"/>
        </w:rPr>
        <w:t>三、否定性指标（一票否决）</w:t>
      </w:r>
    </w:p>
    <w:p>
      <w:pPr>
        <w:jc w:val="center"/>
        <w:rPr>
          <w:rFonts w:hint="eastAsia" w:ascii="ˎ̥" w:hAnsi="ˎ̥" w:cs="宋体"/>
          <w:kern w:val="0"/>
          <w:sz w:val="30"/>
          <w:szCs w:val="3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7528"/>
        <w:gridCol w:w="3827"/>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ˎ̥" w:hAnsi="ˎ̥" w:cs="宋体"/>
                <w:kern w:val="0"/>
                <w:sz w:val="18"/>
                <w:szCs w:val="18"/>
              </w:rPr>
            </w:pPr>
            <w:r>
              <w:rPr>
                <w:rFonts w:hint="eastAsia" w:ascii="黑体" w:hAnsi="黑体" w:eastAsia="黑体" w:cs="宋体"/>
                <w:kern w:val="0"/>
                <w:sz w:val="24"/>
              </w:rPr>
              <w:t>序号</w:t>
            </w:r>
          </w:p>
        </w:tc>
        <w:tc>
          <w:tcPr>
            <w:tcW w:w="75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ˎ̥" w:hAnsi="ˎ̥" w:cs="宋体"/>
                <w:kern w:val="0"/>
                <w:sz w:val="18"/>
                <w:szCs w:val="18"/>
              </w:rPr>
            </w:pPr>
            <w:r>
              <w:rPr>
                <w:rFonts w:hint="eastAsia" w:ascii="黑体" w:hAnsi="黑体" w:eastAsia="黑体" w:cs="宋体"/>
                <w:kern w:val="0"/>
                <w:sz w:val="24"/>
              </w:rPr>
              <w:t>指标名称</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ˎ̥" w:hAnsi="ˎ̥" w:cs="宋体"/>
                <w:kern w:val="0"/>
                <w:sz w:val="18"/>
                <w:szCs w:val="18"/>
              </w:rPr>
            </w:pPr>
            <w:r>
              <w:rPr>
                <w:rFonts w:hint="eastAsia" w:ascii="黑体" w:hAnsi="黑体" w:eastAsia="黑体" w:cs="宋体"/>
                <w:kern w:val="0"/>
                <w:sz w:val="24"/>
              </w:rPr>
              <w:t>考评依据</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ˎ̥" w:hAnsi="ˎ̥" w:cs="宋体"/>
                <w:kern w:val="0"/>
                <w:sz w:val="18"/>
                <w:szCs w:val="18"/>
              </w:rPr>
            </w:pPr>
            <w:r>
              <w:rPr>
                <w:rFonts w:hint="eastAsia" w:ascii="黑体" w:hAnsi="黑体" w:eastAsia="黑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ˎ̥" w:hAnsi="ˎ̥" w:cs="宋体"/>
                <w:kern w:val="0"/>
                <w:sz w:val="18"/>
                <w:szCs w:val="18"/>
              </w:rPr>
            </w:pPr>
            <w:r>
              <w:rPr>
                <w:rFonts w:hint="eastAsia" w:ascii="宋体" w:hAnsi="宋体" w:cs="宋体"/>
                <w:kern w:val="0"/>
                <w:sz w:val="24"/>
              </w:rPr>
              <w:t>1</w:t>
            </w:r>
          </w:p>
        </w:tc>
        <w:tc>
          <w:tcPr>
            <w:tcW w:w="75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left"/>
              <w:rPr>
                <w:rFonts w:hint="eastAsia" w:ascii="楷体_GB2312" w:hAnsi="ˎ̥" w:eastAsia="楷体_GB2312" w:cs="宋体"/>
                <w:kern w:val="0"/>
                <w:sz w:val="18"/>
                <w:szCs w:val="18"/>
              </w:rPr>
            </w:pPr>
            <w:r>
              <w:rPr>
                <w:rFonts w:hint="eastAsia" w:ascii="楷体_GB2312" w:hAnsi="ˎ̥" w:eastAsia="楷体_GB2312" w:cs="宋体"/>
                <w:kern w:val="0"/>
                <w:sz w:val="24"/>
              </w:rPr>
              <w:t>创建期内领导班子成员严重违纪违法、违反“八项规定”（领导干部岗位调动后发现违规违法问题，取消事发单位获得荣誉资格）。</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楷体_GB2312" w:hAnsi="宋体" w:eastAsia="楷体_GB2312" w:cs="宋体"/>
                <w:kern w:val="0"/>
                <w:sz w:val="24"/>
              </w:rPr>
            </w:pPr>
            <w:r>
              <w:rPr>
                <w:rFonts w:hint="eastAsia" w:ascii="楷体_GB2312" w:hAnsi="宋体" w:eastAsia="楷体_GB2312" w:cs="宋体"/>
                <w:kern w:val="0"/>
                <w:sz w:val="24"/>
              </w:rPr>
              <w:t>听取汇报、相关部门材料审核</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宋体" w:hAnsi="宋体" w:cs="宋体"/>
                <w:kern w:val="0"/>
                <w:sz w:val="24"/>
              </w:rPr>
            </w:pPr>
            <w:r>
              <w:rPr>
                <w:rFonts w:hint="eastAsia" w:ascii="宋体" w:hAnsi="宋体" w:cs="宋体"/>
                <w:kern w:val="0"/>
                <w:sz w:val="24"/>
              </w:rPr>
              <w:t>2</w:t>
            </w:r>
          </w:p>
        </w:tc>
        <w:tc>
          <w:tcPr>
            <w:tcW w:w="75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left"/>
              <w:rPr>
                <w:rFonts w:hint="eastAsia" w:ascii="楷体_GB2312" w:hAnsi="ˎ̥" w:eastAsia="楷体_GB2312" w:cs="宋体"/>
                <w:kern w:val="0"/>
                <w:sz w:val="24"/>
              </w:rPr>
            </w:pPr>
            <w:r>
              <w:rPr>
                <w:rFonts w:hint="eastAsia" w:ascii="楷体_GB2312" w:hAnsi="ˎ̥" w:eastAsia="楷体_GB2312" w:cs="宋体"/>
                <w:kern w:val="0"/>
                <w:sz w:val="24"/>
              </w:rPr>
              <w:t>创建期内党的建设和意识形态工作出现严重问题。</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楷体_GB2312" w:hAnsi="宋体" w:eastAsia="楷体_GB2312" w:cs="宋体"/>
                <w:kern w:val="0"/>
                <w:sz w:val="24"/>
              </w:rPr>
            </w:pPr>
            <w:r>
              <w:rPr>
                <w:rFonts w:hint="eastAsia" w:ascii="楷体_GB2312" w:hAnsi="宋体" w:eastAsia="楷体_GB2312" w:cs="宋体"/>
                <w:kern w:val="0"/>
                <w:sz w:val="24"/>
              </w:rPr>
              <w:t>听取汇报、相关部门材料审核</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宋体" w:hAnsi="宋体" w:cs="宋体"/>
                <w:kern w:val="0"/>
                <w:sz w:val="24"/>
              </w:rPr>
            </w:pPr>
            <w:r>
              <w:rPr>
                <w:rFonts w:hint="eastAsia" w:ascii="宋体" w:hAnsi="宋体" w:cs="宋体"/>
                <w:kern w:val="0"/>
                <w:sz w:val="24"/>
              </w:rPr>
              <w:t>3</w:t>
            </w:r>
          </w:p>
        </w:tc>
        <w:tc>
          <w:tcPr>
            <w:tcW w:w="75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left"/>
              <w:rPr>
                <w:rFonts w:hint="eastAsia" w:ascii="楷体_GB2312" w:hAnsi="ˎ̥" w:eastAsia="楷体_GB2312" w:cs="宋体"/>
                <w:kern w:val="0"/>
                <w:sz w:val="24"/>
              </w:rPr>
            </w:pPr>
            <w:r>
              <w:rPr>
                <w:rFonts w:hint="eastAsia" w:ascii="楷体_GB2312" w:hAnsi="ˎ̥" w:eastAsia="楷体_GB2312" w:cs="宋体"/>
                <w:kern w:val="0"/>
                <w:sz w:val="24"/>
              </w:rPr>
              <w:t>创建期内有消防等重大安全责任事故，有严重校园治安事件和员工刑事犯罪案件，有由学院承担主要责任或因处置不当引发的严重群体性事件。</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楷体_GB2312" w:hAnsi="宋体" w:eastAsia="楷体_GB2312" w:cs="宋体"/>
                <w:kern w:val="0"/>
                <w:sz w:val="24"/>
              </w:rPr>
            </w:pPr>
            <w:r>
              <w:rPr>
                <w:rFonts w:hint="eastAsia" w:ascii="楷体_GB2312" w:hAnsi="宋体" w:eastAsia="楷体_GB2312" w:cs="宋体"/>
                <w:kern w:val="0"/>
                <w:sz w:val="24"/>
              </w:rPr>
              <w:t>听取汇报、相关部门材料审核</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宋体" w:hAnsi="宋体" w:cs="宋体"/>
                <w:kern w:val="0"/>
                <w:sz w:val="24"/>
              </w:rPr>
            </w:pPr>
            <w:r>
              <w:rPr>
                <w:rFonts w:hint="eastAsia" w:ascii="宋体" w:hAnsi="宋体" w:cs="宋体"/>
                <w:kern w:val="0"/>
                <w:sz w:val="24"/>
              </w:rPr>
              <w:t>4</w:t>
            </w:r>
          </w:p>
        </w:tc>
        <w:tc>
          <w:tcPr>
            <w:tcW w:w="75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left"/>
              <w:rPr>
                <w:rFonts w:hint="eastAsia" w:ascii="楷体_GB2312" w:hAnsi="ˎ̥" w:eastAsia="楷体_GB2312" w:cs="宋体"/>
                <w:kern w:val="0"/>
                <w:sz w:val="24"/>
              </w:rPr>
            </w:pPr>
            <w:r>
              <w:rPr>
                <w:rFonts w:hint="eastAsia" w:ascii="楷体_GB2312" w:hAnsi="ˎ̥" w:eastAsia="楷体_GB2312" w:cs="宋体"/>
                <w:kern w:val="0"/>
                <w:sz w:val="24"/>
              </w:rPr>
              <w:t>创建期内有严重师德师风事件，有违规办学办班、违规招生和违规收费等事件。</w:t>
            </w:r>
          </w:p>
        </w:tc>
        <w:tc>
          <w:tcPr>
            <w:tcW w:w="3827"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atLeast"/>
              <w:jc w:val="center"/>
              <w:rPr>
                <w:rFonts w:hint="eastAsia" w:ascii="楷体_GB2312" w:hAnsi="宋体" w:eastAsia="楷体_GB2312" w:cs="宋体"/>
                <w:kern w:val="0"/>
                <w:sz w:val="24"/>
              </w:rPr>
            </w:pPr>
            <w:r>
              <w:rPr>
                <w:rFonts w:hint="eastAsia" w:ascii="楷体_GB2312" w:hAnsi="宋体" w:eastAsia="楷体_GB2312" w:cs="宋体"/>
                <w:kern w:val="0"/>
                <w:sz w:val="24"/>
              </w:rPr>
              <w:t>听取汇报、相关部门材料审核</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ˎ̥" w:hAnsi="ˎ̥" w:cs="宋体"/>
                <w:kern w:val="0"/>
                <w:sz w:val="18"/>
                <w:szCs w:val="18"/>
              </w:rPr>
            </w:pPr>
            <w:r>
              <w:rPr>
                <w:rFonts w:hint="eastAsia" w:ascii="宋体" w:hAnsi="宋体" w:cs="宋体"/>
                <w:kern w:val="0"/>
                <w:sz w:val="24"/>
              </w:rPr>
              <w:t>5</w:t>
            </w:r>
          </w:p>
        </w:tc>
        <w:tc>
          <w:tcPr>
            <w:tcW w:w="75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left"/>
              <w:rPr>
                <w:rFonts w:hint="eastAsia" w:ascii="楷体_GB2312" w:hAnsi="宋体" w:eastAsia="楷体_GB2312" w:cs="宋体"/>
                <w:kern w:val="0"/>
                <w:sz w:val="24"/>
              </w:rPr>
            </w:pPr>
            <w:r>
              <w:rPr>
                <w:rFonts w:hint="eastAsia" w:ascii="楷体_GB2312" w:hAnsi="ˎ̥" w:eastAsia="楷体_GB2312" w:cs="宋体"/>
                <w:kern w:val="0"/>
                <w:sz w:val="24"/>
              </w:rPr>
              <w:t>创建期内未</w:t>
            </w:r>
            <w:r>
              <w:rPr>
                <w:rFonts w:hint="eastAsia" w:ascii="楷体_GB2312" w:hAnsi="宋体" w:eastAsia="楷体_GB2312" w:cs="宋体"/>
                <w:kern w:val="0"/>
                <w:sz w:val="24"/>
              </w:rPr>
              <w:t>完成征兵计划。</w:t>
            </w:r>
          </w:p>
        </w:tc>
        <w:tc>
          <w:tcPr>
            <w:tcW w:w="3827"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atLeast"/>
              <w:jc w:val="center"/>
              <w:rPr>
                <w:rFonts w:hint="eastAsia" w:ascii="楷体_GB2312" w:hAnsi="宋体" w:eastAsia="楷体_GB2312" w:cs="宋体"/>
                <w:kern w:val="0"/>
                <w:sz w:val="24"/>
              </w:rPr>
            </w:pPr>
            <w:r>
              <w:rPr>
                <w:rFonts w:hint="eastAsia" w:ascii="楷体_GB2312" w:hAnsi="宋体" w:eastAsia="楷体_GB2312" w:cs="宋体"/>
                <w:kern w:val="0"/>
                <w:sz w:val="24"/>
              </w:rPr>
              <w:t>听取汇报、相关部门材料审核</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tLeast"/>
              <w:jc w:val="center"/>
              <w:rPr>
                <w:rFonts w:hint="eastAsia" w:ascii="宋体" w:hAnsi="宋体" w:cs="宋体"/>
                <w:kern w:val="0"/>
                <w:sz w:val="24"/>
              </w:rPr>
            </w:pPr>
          </w:p>
        </w:tc>
      </w:tr>
    </w:tbl>
    <w:p>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___WRD_EMBED_SUB_4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F5264B"/>
    <w:multiLevelType w:val="multilevel"/>
    <w:tmpl w:val="53F526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NTljZGRhN2E4YjI5ZmQ3MDFiZWZhYjRmMjM1NzcifQ=="/>
  </w:docVars>
  <w:rsids>
    <w:rsidRoot w:val="5340016C"/>
    <w:rsid w:val="53400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Cs/>
      <w:kern w:val="2"/>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before="240" w:after="60"/>
      <w:jc w:val="center"/>
      <w:outlineLvl w:val="0"/>
    </w:pPr>
    <w:rPr>
      <w:rFonts w:ascii="Arial" w:hAnsi="Arial" w:eastAsia="黑体" w:cs="Arial"/>
      <w:b/>
      <w:sz w:val="48"/>
      <w:szCs w:val="4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bCs w:val="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2023-03-10T07:33:00Z</dcterms:created>
  <dc:creator>qwe</dc:creator>
  <cp:lastModifiedBy>qwe</cp:lastModifiedBy>
  <dcterms:modified xsi:type="dcterms:W3CDTF">2023-03-10T07:33:51Z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C13571BF3B6845D4896C23106874A114</vt:lpwstr>
  </property>
</Properties>
</file>